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BA266" w14:textId="39BD0FE7" w:rsidR="00B419FD" w:rsidRPr="007575CF" w:rsidRDefault="00BD2288">
      <w:pPr>
        <w:rPr>
          <w:b/>
          <w:sz w:val="28"/>
        </w:rPr>
      </w:pPr>
      <w:bookmarkStart w:id="0" w:name="_GoBack"/>
      <w:bookmarkEnd w:id="0"/>
      <w:r w:rsidRPr="007575CF">
        <w:rPr>
          <w:b/>
          <w:sz w:val="28"/>
        </w:rPr>
        <w:t>Retningslinjer for</w:t>
      </w:r>
      <w:r w:rsidR="007B2E5D" w:rsidRPr="007575CF">
        <w:rPr>
          <w:b/>
          <w:sz w:val="28"/>
        </w:rPr>
        <w:t xml:space="preserve"> søknad om reseptstatus CF/F inkl.</w:t>
      </w:r>
      <w:r w:rsidRPr="007575CF">
        <w:rPr>
          <w:b/>
          <w:sz w:val="28"/>
        </w:rPr>
        <w:t xml:space="preserve"> </w:t>
      </w:r>
      <w:r w:rsidR="00BD6C37" w:rsidRPr="007575CF">
        <w:rPr>
          <w:b/>
          <w:sz w:val="28"/>
        </w:rPr>
        <w:t>risikominimeringstiltak for utlevering i apotek</w:t>
      </w:r>
    </w:p>
    <w:p w14:paraId="3001CCF1" w14:textId="77777777" w:rsidR="00BD2288" w:rsidRPr="007575CF" w:rsidRDefault="00BD2288"/>
    <w:p w14:paraId="502001A2" w14:textId="77777777" w:rsidR="00BD2288" w:rsidRPr="007575CF" w:rsidRDefault="00B80B3D" w:rsidP="00BD2288">
      <w:pPr>
        <w:pStyle w:val="Overskrift1"/>
        <w:rPr>
          <w:rFonts w:asciiTheme="minorHAnsi" w:hAnsiTheme="minorHAnsi"/>
        </w:rPr>
      </w:pPr>
      <w:r w:rsidRPr="007575CF">
        <w:rPr>
          <w:rFonts w:asciiTheme="minorHAnsi" w:hAnsiTheme="minorHAnsi"/>
        </w:rPr>
        <w:t>Introduksjon</w:t>
      </w:r>
    </w:p>
    <w:p w14:paraId="76EB73A6" w14:textId="3E434846" w:rsidR="007B2E5D" w:rsidRPr="007575CF" w:rsidRDefault="00944E26" w:rsidP="0027100D">
      <w:r w:rsidRPr="007575CF">
        <w:t>Disse retningslinjene</w:t>
      </w:r>
      <w:r w:rsidR="003E151D" w:rsidRPr="007575CF">
        <w:t xml:space="preserve"> er rettet mot innehavere av </w:t>
      </w:r>
      <w:r w:rsidRPr="007575CF">
        <w:t>markedsføringstillatelse</w:t>
      </w:r>
      <w:r w:rsidR="003E151D" w:rsidRPr="007575CF">
        <w:t>r</w:t>
      </w:r>
      <w:r w:rsidRPr="007575CF">
        <w:t xml:space="preserve"> (MT-innehaver</w:t>
      </w:r>
      <w:r w:rsidR="003E151D" w:rsidRPr="007575CF">
        <w:t>e</w:t>
      </w:r>
      <w:r w:rsidRPr="007575CF">
        <w:t>) som vurderer å sø</w:t>
      </w:r>
      <w:r w:rsidR="00481322" w:rsidRPr="007575CF">
        <w:t xml:space="preserve">ke om </w:t>
      </w:r>
      <w:r w:rsidR="003E151D" w:rsidRPr="007575CF">
        <w:t xml:space="preserve">reseptfrihet, enten via </w:t>
      </w:r>
      <w:r w:rsidR="00481322" w:rsidRPr="007575CF">
        <w:t xml:space="preserve">en </w:t>
      </w:r>
      <w:r w:rsidR="003E151D" w:rsidRPr="007575CF">
        <w:t>søknad</w:t>
      </w:r>
      <w:r w:rsidR="008526A8" w:rsidRPr="007575CF">
        <w:t xml:space="preserve"> om ny MT</w:t>
      </w:r>
      <w:r w:rsidR="003E151D" w:rsidRPr="007575CF">
        <w:t xml:space="preserve"> eller gjennom en </w:t>
      </w:r>
      <w:r w:rsidR="00481322" w:rsidRPr="007575CF">
        <w:t>endring</w:t>
      </w:r>
      <w:r w:rsidR="008526A8" w:rsidRPr="007575CF">
        <w:t>ssøknad for et produkt med MT.</w:t>
      </w:r>
      <w:r w:rsidR="00481322" w:rsidRPr="007575CF">
        <w:t xml:space="preserve"> </w:t>
      </w:r>
      <w:r w:rsidR="007B2E5D" w:rsidRPr="007575CF">
        <w:t xml:space="preserve">Også utvidelser av tidligere godkjent reseptfrihet dekkes av disse retningslinjene. </w:t>
      </w:r>
    </w:p>
    <w:p w14:paraId="4E1A2EA3" w14:textId="7584E46B" w:rsidR="008526A8" w:rsidRPr="007575CF" w:rsidRDefault="004A31E1" w:rsidP="008526A8">
      <w:r w:rsidRPr="007575CF">
        <w:t xml:space="preserve">Retningslinjene </w:t>
      </w:r>
      <w:r w:rsidR="008526A8" w:rsidRPr="007575CF">
        <w:t>gi</w:t>
      </w:r>
      <w:r w:rsidRPr="007575CF">
        <w:t>r</w:t>
      </w:r>
      <w:r w:rsidR="008526A8" w:rsidRPr="007575CF">
        <w:t xml:space="preserve"> generelle råd om prosedyren for å sikre en enkel, rask og transparent prosess der det er mulig. De skal også bidra til innsendelse av fullstendige søknader av høy kvalitet.</w:t>
      </w:r>
    </w:p>
    <w:p w14:paraId="5D9D0FA5" w14:textId="52996A51" w:rsidR="008526A8" w:rsidRPr="007575CF" w:rsidRDefault="008526A8" w:rsidP="008526A8">
      <w:r w:rsidRPr="007575CF">
        <w:t>Reseptstatus av et legemiddel kan endres fra C til CF eller F, dersom utstrakt bruk i Norge og/eller Europa har vist at legemidlet er trygt og oppfyller kriteriene for reseptfrihet ihht den europeiske retningslinjen for reklassifisering:</w:t>
      </w:r>
      <w:hyperlink r:id="rId5" w:tgtFrame="_blank" w:history="1">
        <w:r w:rsidRPr="007575CF">
          <w:rPr>
            <w:rStyle w:val="Hyperkobling"/>
            <w:rFonts w:cs="Arial"/>
          </w:rPr>
          <w:t xml:space="preserve"> “A guideline on changing the classification for the supply of a medical product for human use”</w:t>
        </w:r>
      </w:hyperlink>
      <w:r w:rsidRPr="007575CF">
        <w:t xml:space="preserve">. </w:t>
      </w:r>
    </w:p>
    <w:p w14:paraId="16DD3098" w14:textId="48E577AD" w:rsidR="008526A8" w:rsidRPr="007575CF" w:rsidRDefault="008526A8" w:rsidP="008526A8">
      <w:pPr>
        <w:spacing w:after="45" w:line="300" w:lineRule="atLeast"/>
        <w:outlineLvl w:val="1"/>
        <w:rPr>
          <w:rStyle w:val="Overskrift1Tegn"/>
          <w:rFonts w:asciiTheme="minorHAnsi" w:hAnsiTheme="minorHAnsi"/>
        </w:rPr>
      </w:pPr>
      <w:r w:rsidRPr="007575CF">
        <w:t xml:space="preserve">I noen tilfeller kan spesielle risikominimeringstiltak </w:t>
      </w:r>
      <w:r w:rsidR="004B532A" w:rsidRPr="007575CF">
        <w:t xml:space="preserve">for utlevering i apotek </w:t>
      </w:r>
      <w:r w:rsidRPr="007575CF">
        <w:t xml:space="preserve">være nødvendig for å sikre riktig bruk etter at et virkestoff/produkt reklassifiseres fra C til CF/F. Et av tiltakene kan være at utlevering som reseptfritt legemiddel skal skje </w:t>
      </w:r>
      <w:r w:rsidR="0065163A" w:rsidRPr="007575CF">
        <w:t xml:space="preserve">på visse vilkår, for eksempel utlevering </w:t>
      </w:r>
      <w:r w:rsidRPr="007575CF">
        <w:t>under tilsyn av en farmasøyt og</w:t>
      </w:r>
      <w:r w:rsidR="0065163A" w:rsidRPr="007575CF">
        <w:t>/eller</w:t>
      </w:r>
      <w:r w:rsidRPr="007575CF">
        <w:t xml:space="preserve"> at pasienten skal motta ytterligere strukturert veiledning i tillegg til informasjonen som er tilgjengelig på pakningen og i pakningsvedlegget. Slike risikominimeringstilta</w:t>
      </w:r>
      <w:r w:rsidR="0065163A" w:rsidRPr="007575CF">
        <w:t>k skal r</w:t>
      </w:r>
      <w:r w:rsidRPr="007575CF">
        <w:t xml:space="preserve">evurderes etter en viss periode, og kan </w:t>
      </w:r>
      <w:r w:rsidR="004B532A" w:rsidRPr="007575CF">
        <w:t>omsøkes fjernet</w:t>
      </w:r>
      <w:r w:rsidRPr="007575CF">
        <w:t xml:space="preserve"> dersom</w:t>
      </w:r>
      <w:r w:rsidR="004A31E1" w:rsidRPr="007575CF">
        <w:t xml:space="preserve"> det viser seg at det ikke lenger</w:t>
      </w:r>
      <w:r w:rsidRPr="007575CF">
        <w:t xml:space="preserve"> er nødvendig for å sikre riktig bruk. Andre risikominimeringstiltak er begrensninger av indikasjoner, pasientgrupper eller restriksjoner i styrke, dosering legemiddelformen og/eller pakningsstørrelse. Hvilke risikominimeringstiltak</w:t>
      </w:r>
      <w:r w:rsidR="004A31E1" w:rsidRPr="007575CF">
        <w:t xml:space="preserve"> om er vedtatt for et produkt vil bli</w:t>
      </w:r>
      <w:r w:rsidRPr="007575CF">
        <w:t xml:space="preserve"> spesifisert i godkjenningsbrevet.</w:t>
      </w:r>
      <w:r w:rsidRPr="007575CF">
        <w:br/>
      </w:r>
    </w:p>
    <w:p w14:paraId="249767C2" w14:textId="3E9DF449" w:rsidR="00A45D46" w:rsidRPr="007575CF" w:rsidRDefault="00B80B3D" w:rsidP="008526A8">
      <w:pPr>
        <w:spacing w:after="45" w:line="300" w:lineRule="atLeast"/>
        <w:outlineLvl w:val="1"/>
        <w:rPr>
          <w:rStyle w:val="Overskrift1Tegn"/>
          <w:rFonts w:asciiTheme="minorHAnsi" w:hAnsiTheme="minorHAnsi"/>
        </w:rPr>
      </w:pPr>
      <w:r w:rsidRPr="007575CF">
        <w:rPr>
          <w:rStyle w:val="Overskrift1Tegn"/>
          <w:rFonts w:asciiTheme="minorHAnsi" w:hAnsiTheme="minorHAnsi"/>
        </w:rPr>
        <w:t>Bakgrunn</w:t>
      </w:r>
    </w:p>
    <w:p w14:paraId="5F744867" w14:textId="77777777" w:rsidR="00A45D46" w:rsidRPr="007575CF" w:rsidRDefault="00A45D46" w:rsidP="0027100D">
      <w:r w:rsidRPr="007575CF">
        <w:t xml:space="preserve">Reseptstatus er et nasjonalt anliggende for legemidler i desentralisert prosedyre (DCP), gjensidig anerkjennelsesprosedyre (MRP) og nasjonal prosedyre (NP). I disse tilfellene bestemmer Statens legemiddelverk legemidlets </w:t>
      </w:r>
      <w:r w:rsidR="00A47BC7" w:rsidRPr="007575CF">
        <w:t xml:space="preserve">innplassering i en </w:t>
      </w:r>
      <w:r w:rsidRPr="007575CF">
        <w:t xml:space="preserve">reseptgruppe. Fastsettelse av reseptstatus er hjemlet i Forskrift om legemidler jf. direktiv 2001/83/EC. Reseptgruppen fastsettes blant annet på bakgrunn av legemidlets virkestoff, styrke, legemiddelform, pakningsstørrelse, indikasjon og dosering. For legemidler i sentral prosedyre (CP) er reseptstatus et europeisk anliggende </w:t>
      </w:r>
      <w:r w:rsidR="00A47BC7" w:rsidRPr="007575CF">
        <w:t>og</w:t>
      </w:r>
      <w:r w:rsidRPr="007575CF">
        <w:t xml:space="preserve"> bestemmes </w:t>
      </w:r>
      <w:r w:rsidR="00A47BC7" w:rsidRPr="007575CF">
        <w:t xml:space="preserve">felles </w:t>
      </w:r>
      <w:r w:rsidRPr="007575CF">
        <w:t xml:space="preserve">av alle landene i EU/EØS. </w:t>
      </w:r>
    </w:p>
    <w:p w14:paraId="0B0A89D6" w14:textId="77777777" w:rsidR="00A45D46" w:rsidRPr="007575CF" w:rsidRDefault="00A45D46" w:rsidP="0027100D">
      <w:r w:rsidRPr="007575CF">
        <w:t>Legemidler som utleveres uten resept</w:t>
      </w:r>
      <w:r w:rsidR="00481322" w:rsidRPr="007575CF">
        <w:t xml:space="preserve"> i Norge</w:t>
      </w:r>
      <w:r w:rsidRPr="007575CF">
        <w:t xml:space="preserve"> </w:t>
      </w:r>
      <w:r w:rsidR="00A47BC7" w:rsidRPr="007575CF">
        <w:t xml:space="preserve">kan plasseres i reseptgruppe F (reseptfrie legemidler) eller CF </w:t>
      </w:r>
      <w:r w:rsidRPr="007575CF">
        <w:t>(reseptpliktig</w:t>
      </w:r>
      <w:r w:rsidR="00A47BC7" w:rsidRPr="007575CF">
        <w:t>e</w:t>
      </w:r>
      <w:r w:rsidRPr="007575CF">
        <w:t xml:space="preserve"> legemiddel, hvor enkelte pakninger, styrker, legemiddelformer m.v. er unntatt reseptplikt). </w:t>
      </w:r>
    </w:p>
    <w:p w14:paraId="2E56983B" w14:textId="77777777" w:rsidR="00A45D46" w:rsidRPr="007575CF" w:rsidRDefault="00A45D46" w:rsidP="0027100D">
      <w:r w:rsidRPr="007575CF">
        <w:t>Uttrykket OTC (Over The Counter) brukes gjerne om samtlige legemidler som utleveres uten resept.</w:t>
      </w:r>
    </w:p>
    <w:p w14:paraId="4D7D68C4" w14:textId="77777777" w:rsidR="004B56AF" w:rsidRPr="007575CF" w:rsidRDefault="004B56AF" w:rsidP="00944E26">
      <w:pPr>
        <w:rPr>
          <w:rFonts w:cs="Arial"/>
          <w:color w:val="222222"/>
        </w:rPr>
      </w:pPr>
    </w:p>
    <w:p w14:paraId="6109C465" w14:textId="77777777" w:rsidR="00BD2288" w:rsidRPr="007575CF" w:rsidRDefault="00BD2288" w:rsidP="00BD2288">
      <w:pPr>
        <w:pStyle w:val="Overskrift1"/>
        <w:rPr>
          <w:rFonts w:asciiTheme="minorHAnsi" w:hAnsiTheme="minorHAnsi"/>
        </w:rPr>
      </w:pPr>
      <w:r w:rsidRPr="007575CF">
        <w:rPr>
          <w:rFonts w:asciiTheme="minorHAnsi" w:hAnsiTheme="minorHAnsi"/>
        </w:rPr>
        <w:t>Oversikt over prosedyrene</w:t>
      </w:r>
    </w:p>
    <w:p w14:paraId="4EC0449C" w14:textId="13FF6A85" w:rsidR="00351EB4" w:rsidRPr="007575CF" w:rsidRDefault="00080E3B" w:rsidP="0027100D">
      <w:r w:rsidRPr="007575CF">
        <w:t xml:space="preserve">Endringer i reseptstatus </w:t>
      </w:r>
      <w:r w:rsidR="00951339" w:rsidRPr="007575CF">
        <w:t xml:space="preserve">fra C til CF/F </w:t>
      </w:r>
      <w:r w:rsidRPr="007575CF">
        <w:t xml:space="preserve">kan enten søkes sammen med markedsføringstillatelse (MT) eller </w:t>
      </w:r>
      <w:r w:rsidR="00951339" w:rsidRPr="007575CF">
        <w:t xml:space="preserve">senere i </w:t>
      </w:r>
      <w:r w:rsidR="00E463B1" w:rsidRPr="007575CF">
        <w:t xml:space="preserve">legemidlets </w:t>
      </w:r>
      <w:r w:rsidR="004A31E1" w:rsidRPr="007575CF">
        <w:t>livsløp</w:t>
      </w:r>
      <w:r w:rsidR="00951339" w:rsidRPr="007575CF">
        <w:t xml:space="preserve"> </w:t>
      </w:r>
      <w:r w:rsidRPr="007575CF">
        <w:t>etter MT.</w:t>
      </w:r>
    </w:p>
    <w:p w14:paraId="4115006B" w14:textId="7EAC3B32" w:rsidR="00E463B1" w:rsidRPr="007575CF" w:rsidRDefault="00080E3B" w:rsidP="0027100D">
      <w:r w:rsidRPr="007575CF">
        <w:lastRenderedPageBreak/>
        <w:t xml:space="preserve">MT-innehaver kan </w:t>
      </w:r>
      <w:r w:rsidR="00951339" w:rsidRPr="007575CF">
        <w:t xml:space="preserve">også </w:t>
      </w:r>
      <w:r w:rsidRPr="007575CF">
        <w:t xml:space="preserve">søke </w:t>
      </w:r>
      <w:r w:rsidR="00951339" w:rsidRPr="007575CF">
        <w:t xml:space="preserve">om </w:t>
      </w:r>
      <w:r w:rsidR="00CC4CAE" w:rsidRPr="007575CF">
        <w:t xml:space="preserve">f.eks. </w:t>
      </w:r>
      <w:r w:rsidRPr="007575CF">
        <w:t xml:space="preserve">utvidelse av </w:t>
      </w:r>
      <w:r w:rsidR="00951339" w:rsidRPr="007575CF">
        <w:t xml:space="preserve">en </w:t>
      </w:r>
      <w:r w:rsidRPr="007575CF">
        <w:t>indikasjon eller ny pakningsstørrelse for legemidler som har MT</w:t>
      </w:r>
      <w:r w:rsidR="0008097E" w:rsidRPr="007575CF">
        <w:t xml:space="preserve"> og </w:t>
      </w:r>
      <w:r w:rsidR="00951339" w:rsidRPr="007575CF">
        <w:t>allerede</w:t>
      </w:r>
      <w:r w:rsidR="0008097E" w:rsidRPr="007575CF">
        <w:t xml:space="preserve"> er</w:t>
      </w:r>
      <w:r w:rsidR="00951339" w:rsidRPr="007575CF">
        <w:t xml:space="preserve"> plassert i CF eller F</w:t>
      </w:r>
      <w:r w:rsidRPr="007575CF">
        <w:t xml:space="preserve">. </w:t>
      </w:r>
      <w:r w:rsidR="00E463B1" w:rsidRPr="007575CF">
        <w:t>I praksis betyr det at risikominimeringstiltak</w:t>
      </w:r>
      <w:r w:rsidR="00CC4CAE" w:rsidRPr="007575CF">
        <w:t xml:space="preserve"> (eller vilkårene)</w:t>
      </w:r>
      <w:r w:rsidR="00C129C8" w:rsidRPr="007575CF">
        <w:t xml:space="preserve"> som er vedtatt</w:t>
      </w:r>
      <w:r w:rsidR="00E463B1" w:rsidRPr="007575CF">
        <w:t xml:space="preserve"> ved førstegangs </w:t>
      </w:r>
      <w:r w:rsidR="00C129C8" w:rsidRPr="007575CF">
        <w:t xml:space="preserve">godkjenning av </w:t>
      </w:r>
      <w:r w:rsidR="00E463B1" w:rsidRPr="007575CF">
        <w:t xml:space="preserve">CF/F </w:t>
      </w:r>
      <w:r w:rsidR="00CC4CAE" w:rsidRPr="007575CF">
        <w:t>søkes</w:t>
      </w:r>
      <w:r w:rsidR="00E463B1" w:rsidRPr="007575CF">
        <w:t xml:space="preserve"> endret. </w:t>
      </w:r>
    </w:p>
    <w:p w14:paraId="5DBDEA5A" w14:textId="51DE35CD" w:rsidR="00AD138D" w:rsidRPr="007575CF" w:rsidRDefault="00080E3B" w:rsidP="0027100D">
      <w:r w:rsidRPr="007575CF">
        <w:t xml:space="preserve">Både søknad om </w:t>
      </w:r>
      <w:r w:rsidR="00E463B1" w:rsidRPr="007575CF">
        <w:t>endring av reseptstatus og endringer i risikominimeringstiltak skal</w:t>
      </w:r>
      <w:r w:rsidRPr="007575CF">
        <w:t xml:space="preserve"> klassifiseres som C.I.z.</w:t>
      </w:r>
      <w:r w:rsidR="003412D1">
        <w:t xml:space="preserve"> type II</w:t>
      </w:r>
      <w:r w:rsidR="00165014" w:rsidRPr="007575CF">
        <w:t>.</w:t>
      </w:r>
      <w:r w:rsidR="00E463B1" w:rsidRPr="007575CF">
        <w:t xml:space="preserve"> </w:t>
      </w:r>
      <w:r w:rsidRPr="007575CF">
        <w:t xml:space="preserve">Det skal gå klart frem av søknadskjema og følgebrev at det dreier seg om en søknad om </w:t>
      </w:r>
      <w:r w:rsidR="003A78F4" w:rsidRPr="007575CF">
        <w:t>endring i reseptstatus</w:t>
      </w:r>
      <w:r w:rsidR="00153CE2" w:rsidRPr="007575CF">
        <w:t xml:space="preserve"> og/eller endring av risikominimeringstiltak</w:t>
      </w:r>
      <w:r w:rsidR="003412D1">
        <w:t xml:space="preserve"> og/eller indikasjonsendring</w:t>
      </w:r>
      <w:r w:rsidR="003A78F4" w:rsidRPr="007575CF">
        <w:t>.</w:t>
      </w:r>
      <w:r w:rsidRPr="007575CF">
        <w:t xml:space="preserve"> </w:t>
      </w:r>
    </w:p>
    <w:p w14:paraId="5D7DC3B7" w14:textId="1CA1A34D" w:rsidR="00215D0F" w:rsidRPr="007575CF" w:rsidRDefault="00215D0F" w:rsidP="0027100D">
      <w:r w:rsidRPr="007575CF">
        <w:t xml:space="preserve">Ved søknad om ny indikasjon (i både SmPC og OTC-PIL), skal dette sendes </w:t>
      </w:r>
      <w:r w:rsidR="00870131" w:rsidRPr="007575CF">
        <w:t>som indikasjonsendring (single variation C.I.6</w:t>
      </w:r>
      <w:r w:rsidR="007534AD" w:rsidRPr="007575CF">
        <w:t>a</w:t>
      </w:r>
      <w:r w:rsidR="00870131" w:rsidRPr="007575CF">
        <w:t xml:space="preserve"> type II). </w:t>
      </w:r>
    </w:p>
    <w:p w14:paraId="44241C9F" w14:textId="77777777" w:rsidR="00080E3B" w:rsidRPr="007575CF" w:rsidRDefault="00080E3B" w:rsidP="00351EB4">
      <w:pPr>
        <w:rPr>
          <w:rFonts w:cs="Arial"/>
          <w:color w:val="222222"/>
        </w:rPr>
      </w:pPr>
    </w:p>
    <w:p w14:paraId="386ACDD6" w14:textId="77777777" w:rsidR="00BD2288" w:rsidRPr="007575CF" w:rsidRDefault="00944E26" w:rsidP="00BD2288">
      <w:pPr>
        <w:pStyle w:val="Overskrift1"/>
        <w:rPr>
          <w:rFonts w:asciiTheme="minorHAnsi" w:hAnsiTheme="minorHAnsi"/>
        </w:rPr>
      </w:pPr>
      <w:r w:rsidRPr="007575CF">
        <w:rPr>
          <w:rFonts w:asciiTheme="minorHAnsi" w:hAnsiTheme="minorHAnsi"/>
        </w:rPr>
        <w:t>Regulatorisk og vitenskapelig v</w:t>
      </w:r>
      <w:r w:rsidR="00BD2288" w:rsidRPr="007575CF">
        <w:rPr>
          <w:rFonts w:asciiTheme="minorHAnsi" w:hAnsiTheme="minorHAnsi"/>
        </w:rPr>
        <w:t>eiledning (pre-submission)</w:t>
      </w:r>
    </w:p>
    <w:p w14:paraId="3198737F" w14:textId="348F3C5A" w:rsidR="00802E72" w:rsidRPr="007575CF" w:rsidRDefault="00F53420" w:rsidP="0027100D">
      <w:r w:rsidRPr="007575CF">
        <w:t xml:space="preserve">Det anbefales å </w:t>
      </w:r>
      <w:r w:rsidR="008A1F5B" w:rsidRPr="007575CF">
        <w:t>be</w:t>
      </w:r>
      <w:r w:rsidRPr="007575CF">
        <w:t xml:space="preserve"> om regulatorisk og vitenskapelig veiledning </w:t>
      </w:r>
      <w:r w:rsidR="008A1F5B" w:rsidRPr="007575CF">
        <w:t>dersom</w:t>
      </w:r>
      <w:r w:rsidR="00393466" w:rsidRPr="007575CF">
        <w:t xml:space="preserve"> </w:t>
      </w:r>
      <w:r w:rsidRPr="007575CF">
        <w:t>virkestoff</w:t>
      </w:r>
      <w:r w:rsidR="00C36E08" w:rsidRPr="007575CF">
        <w:t>et</w:t>
      </w:r>
      <w:r w:rsidRPr="007575CF">
        <w:t xml:space="preserve"> </w:t>
      </w:r>
      <w:r w:rsidR="001E6A54" w:rsidRPr="007575CF">
        <w:t>vil være den første reseptfrie i sin</w:t>
      </w:r>
      <w:r w:rsidRPr="007575CF">
        <w:t xml:space="preserve"> </w:t>
      </w:r>
      <w:r w:rsidR="00393466" w:rsidRPr="007575CF">
        <w:t>terapeutisk</w:t>
      </w:r>
      <w:r w:rsidR="001E6A54" w:rsidRPr="007575CF">
        <w:t>e</w:t>
      </w:r>
      <w:r w:rsidR="00393466" w:rsidRPr="007575CF">
        <w:t xml:space="preserve"> </w:t>
      </w:r>
      <w:r w:rsidRPr="007575CF">
        <w:t>gruppe</w:t>
      </w:r>
      <w:r w:rsidR="00C36E08" w:rsidRPr="007575CF">
        <w:t>,</w:t>
      </w:r>
      <w:r w:rsidRPr="007575CF">
        <w:t xml:space="preserve"> </w:t>
      </w:r>
      <w:r w:rsidR="00621587" w:rsidRPr="007575CF">
        <w:t xml:space="preserve">spesielt </w:t>
      </w:r>
      <w:r w:rsidR="00C36E08" w:rsidRPr="007575CF">
        <w:t>dersom</w:t>
      </w:r>
      <w:r w:rsidR="004A31E1" w:rsidRPr="007575CF">
        <w:t xml:space="preserve"> det foreslås</w:t>
      </w:r>
      <w:r w:rsidR="00C36E08" w:rsidRPr="007575CF">
        <w:t xml:space="preserve"> </w:t>
      </w:r>
      <w:r w:rsidR="008A1F5B" w:rsidRPr="007575CF">
        <w:t>vilkår for utleveringen som risikomini</w:t>
      </w:r>
      <w:r w:rsidR="004A31E1" w:rsidRPr="007575CF">
        <w:t>merings</w:t>
      </w:r>
      <w:r w:rsidR="008A1F5B" w:rsidRPr="007575CF">
        <w:t>tiltak</w:t>
      </w:r>
      <w:r w:rsidR="00C36E08" w:rsidRPr="007575CF">
        <w:t xml:space="preserve">. </w:t>
      </w:r>
      <w:r w:rsidR="00393466" w:rsidRPr="007575CF">
        <w:br/>
      </w:r>
      <w:r w:rsidR="00802E72" w:rsidRPr="007575CF">
        <w:t>I v</w:t>
      </w:r>
      <w:r w:rsidR="00C36E08" w:rsidRPr="007575CF">
        <w:t>eiledning</w:t>
      </w:r>
      <w:r w:rsidR="00E33FD5" w:rsidRPr="007575CF">
        <w:t>smøter</w:t>
      </w:r>
      <w:r w:rsidR="00C36E08" w:rsidRPr="007575CF">
        <w:t xml:space="preserve"> </w:t>
      </w:r>
      <w:r w:rsidR="00802E72" w:rsidRPr="007575CF">
        <w:t>er det anledning til å diskutere både egnethet av legemidlet som CF/F</w:t>
      </w:r>
      <w:r w:rsidR="00C36E08" w:rsidRPr="007575CF">
        <w:t>, ind</w:t>
      </w:r>
      <w:r w:rsidR="00802E72" w:rsidRPr="007575CF">
        <w:t xml:space="preserve">ikasjon, dosering, målgruppen </w:t>
      </w:r>
      <w:r w:rsidR="00C36E08" w:rsidRPr="007575CF">
        <w:t xml:space="preserve">og </w:t>
      </w:r>
      <w:r w:rsidR="00802E72" w:rsidRPr="007575CF">
        <w:t>risikominimeringstiltak</w:t>
      </w:r>
      <w:r w:rsidR="00C36E08" w:rsidRPr="007575CF">
        <w:t xml:space="preserve"> som </w:t>
      </w:r>
      <w:r w:rsidR="00802E72" w:rsidRPr="007575CF">
        <w:t>opplæringsmateriell</w:t>
      </w:r>
      <w:r w:rsidR="00C36E08" w:rsidRPr="007575CF">
        <w:t xml:space="preserve"> </w:t>
      </w:r>
      <w:r w:rsidR="00E33FD5" w:rsidRPr="007575CF">
        <w:t>til apotekpersonalet/</w:t>
      </w:r>
      <w:r w:rsidR="00802E72" w:rsidRPr="007575CF">
        <w:t xml:space="preserve">pasient og sjekklister som skal brukes </w:t>
      </w:r>
      <w:r w:rsidR="00E33FD5" w:rsidRPr="007575CF">
        <w:t xml:space="preserve">ved utlevering </w:t>
      </w:r>
      <w:r w:rsidR="00C36E08" w:rsidRPr="007575CF">
        <w:t>(om nødvendig</w:t>
      </w:r>
      <w:r w:rsidR="00802E72" w:rsidRPr="007575CF">
        <w:t>)</w:t>
      </w:r>
      <w:r w:rsidR="00C36E08" w:rsidRPr="007575CF">
        <w:t xml:space="preserve">. </w:t>
      </w:r>
    </w:p>
    <w:p w14:paraId="522AF39A" w14:textId="29850327" w:rsidR="0063743F" w:rsidRPr="007575CF" w:rsidRDefault="00E33FD5" w:rsidP="0063743F">
      <w:r w:rsidRPr="007575CF">
        <w:t xml:space="preserve">MT-innehaver bør </w:t>
      </w:r>
      <w:r w:rsidR="004A31E1" w:rsidRPr="007575CF">
        <w:t xml:space="preserve">på forhånd </w:t>
      </w:r>
      <w:r w:rsidRPr="007575CF">
        <w:t>sette seg</w:t>
      </w:r>
      <w:r w:rsidR="00CC092E" w:rsidRPr="007575CF">
        <w:t xml:space="preserve"> godt inn i </w:t>
      </w:r>
      <w:r w:rsidR="00E2424C" w:rsidRPr="007575CF">
        <w:t xml:space="preserve">sikkerhetsutfordringer knyttet til reseptfri bruk og tilgjengelige faglige retningslinjer og veiledere som for eksempel: </w:t>
      </w:r>
    </w:p>
    <w:p w14:paraId="45D49EAB" w14:textId="54D03D53" w:rsidR="005E1424" w:rsidRPr="007575CF" w:rsidRDefault="00883D15" w:rsidP="0063743F">
      <w:pPr>
        <w:pStyle w:val="Listeavsnitt"/>
        <w:numPr>
          <w:ilvl w:val="0"/>
          <w:numId w:val="3"/>
        </w:numPr>
      </w:pPr>
      <w:r w:rsidRPr="007575CF">
        <w:t xml:space="preserve">gjeldende </w:t>
      </w:r>
      <w:r w:rsidR="00A60060" w:rsidRPr="007575CF">
        <w:t xml:space="preserve">nasjonale </w:t>
      </w:r>
      <w:r w:rsidR="00053C65" w:rsidRPr="007575CF">
        <w:t>behandlingsretningslinjer</w:t>
      </w:r>
    </w:p>
    <w:p w14:paraId="7CF9743F" w14:textId="08D7E296" w:rsidR="005E1424" w:rsidRPr="007575CF" w:rsidRDefault="00A60060" w:rsidP="005E1424">
      <w:pPr>
        <w:pStyle w:val="Listeavsnitt"/>
        <w:numPr>
          <w:ilvl w:val="0"/>
          <w:numId w:val="3"/>
        </w:numPr>
      </w:pPr>
      <w:r w:rsidRPr="007575CF">
        <w:t>behandlings</w:t>
      </w:r>
      <w:r w:rsidR="00883D15" w:rsidRPr="007575CF">
        <w:t>anbefalinger</w:t>
      </w:r>
      <w:r w:rsidR="005E1424" w:rsidRPr="007575CF">
        <w:t xml:space="preserve"> og veiledere</w:t>
      </w:r>
      <w:r w:rsidR="00883D15" w:rsidRPr="007575CF">
        <w:t xml:space="preserve"> fra </w:t>
      </w:r>
      <w:r w:rsidR="00C36E08" w:rsidRPr="007575CF">
        <w:t>faglige organisasjoner</w:t>
      </w:r>
      <w:r w:rsidR="005E1424" w:rsidRPr="007575CF">
        <w:t xml:space="preserve"> og kompetansesentre (f.eks. Legevakthåndboken, Relis, Norsk legemiddelhåndbok, Den norske legeforeningen, Norsk barnelegeforeningen m.m.)</w:t>
      </w:r>
    </w:p>
    <w:p w14:paraId="156FE718" w14:textId="719FB46E" w:rsidR="00824A78" w:rsidRPr="007575CF" w:rsidRDefault="00053C65" w:rsidP="005E1424">
      <w:pPr>
        <w:pStyle w:val="Listeavsnitt"/>
        <w:numPr>
          <w:ilvl w:val="0"/>
          <w:numId w:val="3"/>
        </w:numPr>
      </w:pPr>
      <w:r w:rsidRPr="007575CF">
        <w:t>p</w:t>
      </w:r>
      <w:r w:rsidR="00C36E08" w:rsidRPr="007575CF">
        <w:t>asient</w:t>
      </w:r>
      <w:r w:rsidRPr="007575CF">
        <w:t>or</w:t>
      </w:r>
      <w:r w:rsidR="00C36E08" w:rsidRPr="007575CF">
        <w:t>ganisasjoner</w:t>
      </w:r>
    </w:p>
    <w:p w14:paraId="3F045941" w14:textId="77777777" w:rsidR="00E2424C" w:rsidRPr="007575CF" w:rsidRDefault="00E2424C" w:rsidP="0027100D">
      <w:r w:rsidRPr="007575CF">
        <w:t xml:space="preserve">Søker skal sikre at søknaden inneholder relevant dokumentasjon og at foreslått risikominimeringsplan er tilpasset behovene. </w:t>
      </w:r>
    </w:p>
    <w:p w14:paraId="326C1A3B" w14:textId="541FE6CE" w:rsidR="00824A78" w:rsidRPr="007575CF" w:rsidRDefault="00824A78" w:rsidP="0027100D">
      <w:r w:rsidRPr="007575CF">
        <w:t xml:space="preserve">Veiledning kan søkes slik: </w:t>
      </w:r>
      <w:hyperlink r:id="rId6" w:history="1">
        <w:r w:rsidR="0037575F" w:rsidRPr="007575CF">
          <w:rPr>
            <w:rStyle w:val="Hyperkobling"/>
          </w:rPr>
          <w:t>Veiledning og råd</w:t>
        </w:r>
      </w:hyperlink>
    </w:p>
    <w:p w14:paraId="74676EEB" w14:textId="77777777" w:rsidR="00BD2288" w:rsidRPr="007575CF" w:rsidRDefault="00944E26" w:rsidP="00944E26">
      <w:pPr>
        <w:pStyle w:val="Overskrift1"/>
        <w:rPr>
          <w:rFonts w:asciiTheme="minorHAnsi" w:hAnsiTheme="minorHAnsi"/>
        </w:rPr>
      </w:pPr>
      <w:r w:rsidRPr="007575CF">
        <w:rPr>
          <w:rFonts w:asciiTheme="minorHAnsi" w:hAnsiTheme="minorHAnsi"/>
        </w:rPr>
        <w:t>Søknad</w:t>
      </w:r>
    </w:p>
    <w:p w14:paraId="582B2F3E" w14:textId="49E35B3B" w:rsidR="000A54B9" w:rsidRPr="007575CF" w:rsidRDefault="00824A78" w:rsidP="000A54B9">
      <w:pPr>
        <w:rPr>
          <w:rFonts w:cs="Arial"/>
          <w:color w:val="222222"/>
        </w:rPr>
      </w:pPr>
      <w:r w:rsidRPr="007575CF">
        <w:t xml:space="preserve">Søknaden utformes i henhold til </w:t>
      </w:r>
      <w:r w:rsidR="00413DC4" w:rsidRPr="007575CF">
        <w:t xml:space="preserve">gjeldende </w:t>
      </w:r>
      <w:r w:rsidRPr="007575CF">
        <w:t xml:space="preserve">regelverket og </w:t>
      </w:r>
      <w:r w:rsidR="001547A2" w:rsidRPr="007575CF">
        <w:t xml:space="preserve">skal inneholde </w:t>
      </w:r>
      <w:r w:rsidR="000A54B9" w:rsidRPr="007575CF">
        <w:t>følgende deler:</w:t>
      </w:r>
    </w:p>
    <w:p w14:paraId="58471F63" w14:textId="77777777" w:rsidR="000A54B9" w:rsidRPr="007575CF" w:rsidRDefault="000A54B9" w:rsidP="008D6F20">
      <w:pPr>
        <w:pStyle w:val="Overskrift2"/>
        <w:rPr>
          <w:rFonts w:asciiTheme="minorHAnsi" w:eastAsiaTheme="minorHAnsi" w:hAnsiTheme="minorHAnsi"/>
        </w:rPr>
      </w:pPr>
      <w:r w:rsidRPr="007575CF">
        <w:rPr>
          <w:rFonts w:asciiTheme="minorHAnsi" w:eastAsiaTheme="minorHAnsi" w:hAnsiTheme="minorHAnsi"/>
        </w:rPr>
        <w:t>Klinisk sammendrag</w:t>
      </w:r>
    </w:p>
    <w:p w14:paraId="0A6925C4" w14:textId="77777777" w:rsidR="000A54B9" w:rsidRPr="007575CF" w:rsidRDefault="000A54B9" w:rsidP="0027100D">
      <w:pPr>
        <w:rPr>
          <w:rFonts w:eastAsia="Times New Roman"/>
          <w:szCs w:val="24"/>
          <w:lang w:eastAsia="nb-NO"/>
        </w:rPr>
      </w:pPr>
      <w:r w:rsidRPr="007575CF">
        <w:t>Sammendraget skal inkludere en kritisk analyse av legemidlets egnethet, misbrukspotensiale og sikkerhet ved egenbehandling for søkt OTC-indikasjon, pakningsstørrelse, styrke og formulering. Sammendraget skal utformes i henhold til den europeiske retningslinjen</w:t>
      </w:r>
      <w:r w:rsidRPr="007575CF">
        <w:rPr>
          <w:rFonts w:eastAsia="Times New Roman"/>
          <w:sz w:val="24"/>
          <w:szCs w:val="24"/>
          <w:lang w:eastAsia="nb-NO"/>
        </w:rPr>
        <w:t> </w:t>
      </w:r>
      <w:hyperlink r:id="rId7" w:tgtFrame="_blank" w:history="1">
        <w:r w:rsidRPr="007575CF">
          <w:rPr>
            <w:rStyle w:val="Hyperkobling"/>
            <w:rFonts w:cs="Arial"/>
            <w:lang w:eastAsia="nb-NO"/>
          </w:rPr>
          <w:t>“A guideline on changing the classification for the supply of a medical product for human use”</w:t>
        </w:r>
      </w:hyperlink>
      <w:r w:rsidRPr="007575CF">
        <w:rPr>
          <w:rFonts w:eastAsia="Times New Roman"/>
          <w:lang w:eastAsia="nb-NO"/>
        </w:rPr>
        <w:t>.</w:t>
      </w:r>
      <w:r w:rsidRPr="007575CF">
        <w:rPr>
          <w:rFonts w:eastAsia="Times New Roman"/>
          <w:sz w:val="24"/>
          <w:szCs w:val="24"/>
          <w:lang w:eastAsia="nb-NO"/>
        </w:rPr>
        <w:t xml:space="preserve"> </w:t>
      </w:r>
      <w:r w:rsidRPr="007575CF">
        <w:rPr>
          <w:rFonts w:eastAsia="Times New Roman"/>
          <w:szCs w:val="24"/>
          <w:lang w:eastAsia="nb-NO"/>
        </w:rPr>
        <w:t xml:space="preserve">OTC-indikasjonen skal angi målgruppe og være lett forståelig. </w:t>
      </w:r>
    </w:p>
    <w:p w14:paraId="3B8BEB03" w14:textId="4B32B9C1" w:rsidR="000A54B9" w:rsidRPr="007575CF" w:rsidRDefault="000A54B9" w:rsidP="0027100D">
      <w:pPr>
        <w:rPr>
          <w:rFonts w:eastAsia="Times New Roman"/>
          <w:szCs w:val="24"/>
          <w:lang w:eastAsia="nb-NO"/>
        </w:rPr>
      </w:pPr>
      <w:r w:rsidRPr="007575CF">
        <w:rPr>
          <w:rFonts w:eastAsia="Times New Roman"/>
          <w:szCs w:val="24"/>
          <w:lang w:eastAsia="nb-NO"/>
        </w:rPr>
        <w:t>Ved søknad om endringer i et tidligere vedtak om reseptfrihet (f.eks. utvidelse av OTC-status) er det tilstrekkelig at betydningen av endringen diskuteres. </w:t>
      </w:r>
    </w:p>
    <w:p w14:paraId="01C3A7F6" w14:textId="77777777" w:rsidR="000A54B9" w:rsidRPr="007575CF" w:rsidRDefault="000A54B9" w:rsidP="008D6F20">
      <w:pPr>
        <w:pStyle w:val="Overskrift2"/>
        <w:rPr>
          <w:rFonts w:asciiTheme="minorHAnsi" w:eastAsia="Times New Roman" w:hAnsiTheme="minorHAnsi"/>
        </w:rPr>
      </w:pPr>
      <w:r w:rsidRPr="007575CF">
        <w:rPr>
          <w:rFonts w:asciiTheme="minorHAnsi" w:eastAsia="Times New Roman" w:hAnsiTheme="minorHAnsi"/>
        </w:rPr>
        <w:lastRenderedPageBreak/>
        <w:t xml:space="preserve">Virkestoffrapport </w:t>
      </w:r>
    </w:p>
    <w:p w14:paraId="4A0F41FD" w14:textId="322FC66B" w:rsidR="000A54B9" w:rsidRPr="007575CF" w:rsidRDefault="00760DDD" w:rsidP="0027100D">
      <w:pPr>
        <w:rPr>
          <w:rFonts w:eastAsia="Times New Roman"/>
          <w:szCs w:val="24"/>
          <w:lang w:eastAsia="nb-NO"/>
        </w:rPr>
      </w:pPr>
      <w:r w:rsidRPr="007575CF">
        <w:t xml:space="preserve">For produkter i nasjonale prosedyrer </w:t>
      </w:r>
      <w:r w:rsidR="001547A2" w:rsidRPr="007575CF">
        <w:t xml:space="preserve">(NP, MRP/DCP) </w:t>
      </w:r>
      <w:r w:rsidRPr="007575CF">
        <w:t xml:space="preserve">kan søknadsprosessen forenkles dersom det </w:t>
      </w:r>
      <w:r w:rsidR="000C7A0E" w:rsidRPr="007575CF">
        <w:t>eksisterer</w:t>
      </w:r>
      <w:r w:rsidRPr="007575CF">
        <w:t xml:space="preserve"> en godkjent virkestoffrapport</w:t>
      </w:r>
      <w:r w:rsidR="0063743F" w:rsidRPr="007575CF">
        <w:t xml:space="preserve"> (publisert på www.legemiddelverket.no)</w:t>
      </w:r>
      <w:r w:rsidRPr="007575CF">
        <w:t>. D</w:t>
      </w:r>
      <w:r w:rsidR="000A54B9" w:rsidRPr="007575CF">
        <w:rPr>
          <w:rFonts w:eastAsia="Times New Roman"/>
          <w:szCs w:val="24"/>
          <w:lang w:eastAsia="nb-NO"/>
        </w:rPr>
        <w:t xml:space="preserve">ersom </w:t>
      </w:r>
      <w:r w:rsidRPr="007575CF">
        <w:t>MT-innehaver</w:t>
      </w:r>
      <w:r w:rsidR="000A54B9" w:rsidRPr="007575CF">
        <w:rPr>
          <w:rFonts w:eastAsia="Times New Roman"/>
          <w:szCs w:val="24"/>
          <w:lang w:eastAsia="nb-NO"/>
        </w:rPr>
        <w:t xml:space="preserve"> ønsker samme </w:t>
      </w:r>
      <w:r w:rsidR="00195C3A" w:rsidRPr="007575CF">
        <w:t xml:space="preserve">eller deler av </w:t>
      </w:r>
      <w:r w:rsidR="001235A4" w:rsidRPr="007575CF">
        <w:t xml:space="preserve">samme </w:t>
      </w:r>
      <w:r w:rsidR="00195C3A" w:rsidRPr="007575CF">
        <w:t xml:space="preserve">indikasjon, </w:t>
      </w:r>
      <w:r w:rsidR="000C7A0E" w:rsidRPr="007575CF">
        <w:t>dosering,</w:t>
      </w:r>
      <w:r w:rsidRPr="007575CF">
        <w:t xml:space="preserve"> p</w:t>
      </w:r>
      <w:r w:rsidR="000A54B9" w:rsidRPr="007575CF">
        <w:rPr>
          <w:rFonts w:eastAsia="Times New Roman"/>
          <w:szCs w:val="24"/>
          <w:lang w:eastAsia="nb-NO"/>
        </w:rPr>
        <w:t xml:space="preserve">akningsstørrelse, formulering og styrke </w:t>
      </w:r>
      <w:r w:rsidRPr="007575CF">
        <w:rPr>
          <w:rFonts w:eastAsia="Times New Roman"/>
          <w:szCs w:val="24"/>
          <w:lang w:eastAsia="nb-NO"/>
        </w:rPr>
        <w:t>som angitt i virkestoffrapporten</w:t>
      </w:r>
      <w:r w:rsidRPr="007575CF">
        <w:t xml:space="preserve"> </w:t>
      </w:r>
      <w:r w:rsidR="000C7A0E" w:rsidRPr="007575CF">
        <w:t>er det ikke nødvendig med innsendelse av et klinisk sammendrag</w:t>
      </w:r>
      <w:r w:rsidR="000A54B9" w:rsidRPr="007575CF">
        <w:rPr>
          <w:rFonts w:eastAsia="Times New Roman"/>
          <w:szCs w:val="24"/>
          <w:lang w:eastAsia="nb-NO"/>
        </w:rPr>
        <w:t xml:space="preserve">. </w:t>
      </w:r>
      <w:hyperlink r:id="rId8" w:history="1">
        <w:r w:rsidR="000A54B9" w:rsidRPr="007575CF">
          <w:rPr>
            <w:rStyle w:val="Hyperkobling"/>
            <w:rFonts w:cs="Arial"/>
            <w:lang w:eastAsia="nb-NO"/>
          </w:rPr>
          <w:t>Les mer om virkestoffrapporter</w:t>
        </w:r>
      </w:hyperlink>
      <w:r w:rsidR="000A54B9" w:rsidRPr="007575CF">
        <w:rPr>
          <w:rFonts w:eastAsia="Times New Roman"/>
          <w:szCs w:val="24"/>
          <w:lang w:eastAsia="nb-NO"/>
        </w:rPr>
        <w:t>.</w:t>
      </w:r>
      <w:r w:rsidRPr="007575CF">
        <w:t xml:space="preserve"> </w:t>
      </w:r>
    </w:p>
    <w:p w14:paraId="3CCE0ACF" w14:textId="5839234C" w:rsidR="000A54B9" w:rsidRPr="007575CF" w:rsidRDefault="000A54B9" w:rsidP="0027100D">
      <w:pPr>
        <w:rPr>
          <w:rFonts w:eastAsia="Times New Roman"/>
          <w:szCs w:val="24"/>
          <w:lang w:eastAsia="nb-NO"/>
        </w:rPr>
      </w:pPr>
      <w:r w:rsidRPr="007575CF">
        <w:rPr>
          <w:rFonts w:eastAsia="Times New Roman"/>
          <w:szCs w:val="24"/>
          <w:lang w:eastAsia="nb-NO"/>
        </w:rPr>
        <w:t xml:space="preserve">Dersom </w:t>
      </w:r>
      <w:r w:rsidR="00195C3A" w:rsidRPr="007575CF">
        <w:rPr>
          <w:rFonts w:eastAsia="Times New Roman"/>
          <w:szCs w:val="24"/>
          <w:lang w:eastAsia="nb-NO"/>
        </w:rPr>
        <w:t xml:space="preserve">MT-innehaver ønsker en </w:t>
      </w:r>
      <w:r w:rsidR="001235A4" w:rsidRPr="007575CF">
        <w:rPr>
          <w:rFonts w:eastAsia="Times New Roman"/>
          <w:szCs w:val="24"/>
          <w:lang w:eastAsia="nb-NO"/>
        </w:rPr>
        <w:t>utvidet</w:t>
      </w:r>
      <w:r w:rsidR="00195C3A" w:rsidRPr="007575CF">
        <w:rPr>
          <w:rFonts w:eastAsia="Times New Roman"/>
          <w:szCs w:val="24"/>
          <w:lang w:eastAsia="nb-NO"/>
        </w:rPr>
        <w:t xml:space="preserve"> indikasjon, annen dosering, større pakning eller styrke eller annen formulering</w:t>
      </w:r>
      <w:r w:rsidRPr="007575CF">
        <w:rPr>
          <w:rFonts w:eastAsia="Times New Roman"/>
          <w:szCs w:val="24"/>
          <w:lang w:eastAsia="nb-NO"/>
        </w:rPr>
        <w:t xml:space="preserve"> enn det som er beskrevet i en virkestoffrapport</w:t>
      </w:r>
      <w:r w:rsidR="00195C3A" w:rsidRPr="007575CF">
        <w:rPr>
          <w:rFonts w:eastAsia="Times New Roman"/>
          <w:szCs w:val="24"/>
          <w:lang w:eastAsia="nb-NO"/>
        </w:rPr>
        <w:t>, s</w:t>
      </w:r>
      <w:r w:rsidRPr="007575CF">
        <w:rPr>
          <w:rFonts w:eastAsia="Times New Roman"/>
          <w:szCs w:val="24"/>
          <w:lang w:eastAsia="nb-NO"/>
        </w:rPr>
        <w:t xml:space="preserve">kal de delene som er </w:t>
      </w:r>
      <w:r w:rsidR="001235A4" w:rsidRPr="007575CF">
        <w:rPr>
          <w:rFonts w:eastAsia="Times New Roman"/>
          <w:szCs w:val="24"/>
          <w:lang w:eastAsia="nb-NO"/>
        </w:rPr>
        <w:t>utvidet</w:t>
      </w:r>
      <w:r w:rsidRPr="007575CF">
        <w:rPr>
          <w:rFonts w:eastAsia="Times New Roman"/>
          <w:szCs w:val="24"/>
          <w:lang w:eastAsia="nb-NO"/>
        </w:rPr>
        <w:t xml:space="preserve"> diskuteres i et klinisk sammendrag. Søker skal </w:t>
      </w:r>
      <w:r w:rsidR="001235A4" w:rsidRPr="007575CF">
        <w:rPr>
          <w:rFonts w:eastAsia="Times New Roman"/>
          <w:szCs w:val="24"/>
          <w:lang w:eastAsia="nb-NO"/>
        </w:rPr>
        <w:t xml:space="preserve">i </w:t>
      </w:r>
      <w:r w:rsidRPr="007575CF">
        <w:rPr>
          <w:rFonts w:eastAsia="Times New Roman"/>
          <w:szCs w:val="24"/>
          <w:lang w:eastAsia="nb-NO"/>
        </w:rPr>
        <w:t>begrunne</w:t>
      </w:r>
      <w:r w:rsidR="001235A4" w:rsidRPr="007575CF">
        <w:rPr>
          <w:rFonts w:eastAsia="Times New Roman"/>
          <w:szCs w:val="24"/>
          <w:lang w:eastAsia="nb-NO"/>
        </w:rPr>
        <w:t xml:space="preserve">lsen vise at den </w:t>
      </w:r>
      <w:r w:rsidRPr="007575CF">
        <w:rPr>
          <w:rFonts w:eastAsia="Times New Roman"/>
          <w:szCs w:val="24"/>
          <w:lang w:eastAsia="nb-NO"/>
        </w:rPr>
        <w:t>utvidet</w:t>
      </w:r>
      <w:r w:rsidR="001235A4" w:rsidRPr="007575CF">
        <w:rPr>
          <w:rFonts w:eastAsia="Times New Roman"/>
          <w:szCs w:val="24"/>
          <w:lang w:eastAsia="nb-NO"/>
        </w:rPr>
        <w:t>e</w:t>
      </w:r>
      <w:r w:rsidRPr="007575CF">
        <w:rPr>
          <w:rFonts w:eastAsia="Times New Roman"/>
          <w:szCs w:val="24"/>
          <w:lang w:eastAsia="nb-NO"/>
        </w:rPr>
        <w:t xml:space="preserve"> indikasjon/dosering/pakningsstørrelse eller endret formulering/styrke </w:t>
      </w:r>
      <w:r w:rsidR="001235A4" w:rsidRPr="007575CF">
        <w:rPr>
          <w:rFonts w:eastAsia="Times New Roman"/>
          <w:szCs w:val="24"/>
          <w:lang w:eastAsia="nb-NO"/>
        </w:rPr>
        <w:t>har</w:t>
      </w:r>
      <w:r w:rsidR="00A44F1F" w:rsidRPr="007575CF">
        <w:rPr>
          <w:rFonts w:eastAsia="Times New Roman"/>
          <w:szCs w:val="24"/>
          <w:lang w:eastAsia="nb-NO"/>
        </w:rPr>
        <w:t xml:space="preserve"> positiv</w:t>
      </w:r>
      <w:r w:rsidRPr="007575CF">
        <w:rPr>
          <w:rFonts w:eastAsia="Times New Roman"/>
          <w:szCs w:val="24"/>
          <w:lang w:eastAsia="nb-NO"/>
        </w:rPr>
        <w:t xml:space="preserve"> nytte og risiko </w:t>
      </w:r>
      <w:r w:rsidR="00A44F1F" w:rsidRPr="007575CF">
        <w:rPr>
          <w:rFonts w:eastAsia="Times New Roman"/>
          <w:szCs w:val="24"/>
          <w:lang w:eastAsia="nb-NO"/>
        </w:rPr>
        <w:t xml:space="preserve">balanse </w:t>
      </w:r>
      <w:r w:rsidRPr="007575CF">
        <w:rPr>
          <w:rFonts w:eastAsia="Times New Roman"/>
          <w:szCs w:val="24"/>
          <w:lang w:eastAsia="nb-NO"/>
        </w:rPr>
        <w:t>for pasienten.</w:t>
      </w:r>
    </w:p>
    <w:p w14:paraId="4781786C" w14:textId="4E42F1F0" w:rsidR="000A54B9" w:rsidRPr="007575CF" w:rsidRDefault="00DA252F" w:rsidP="00DA252F">
      <w:pPr>
        <w:pStyle w:val="Overskrift2"/>
        <w:rPr>
          <w:rFonts w:asciiTheme="minorHAnsi" w:hAnsiTheme="minorHAnsi"/>
        </w:rPr>
      </w:pPr>
      <w:r w:rsidRPr="007575CF">
        <w:rPr>
          <w:rFonts w:asciiTheme="minorHAnsi" w:hAnsiTheme="minorHAnsi"/>
        </w:rPr>
        <w:t>RMP</w:t>
      </w:r>
    </w:p>
    <w:p w14:paraId="5275B61E" w14:textId="77777777" w:rsidR="00A44F1F" w:rsidRPr="007575CF" w:rsidRDefault="00A44F1F" w:rsidP="000A54B9">
      <w:pPr>
        <w:pStyle w:val="NormalWeb"/>
        <w:rPr>
          <w:rFonts w:asciiTheme="minorHAnsi" w:hAnsiTheme="minorHAnsi" w:cs="Arial"/>
          <w:color w:val="222222"/>
          <w:sz w:val="22"/>
          <w:highlight w:val="yellow"/>
        </w:rPr>
      </w:pPr>
    </w:p>
    <w:p w14:paraId="716E2097" w14:textId="77777777" w:rsidR="00A44F1F" w:rsidRPr="007575CF" w:rsidRDefault="00A44F1F" w:rsidP="00A44F1F">
      <w:pPr>
        <w:pStyle w:val="NormalWeb"/>
        <w:rPr>
          <w:rFonts w:asciiTheme="minorHAnsi" w:hAnsiTheme="minorHAnsi" w:cs="Arial"/>
          <w:color w:val="222222"/>
          <w:sz w:val="22"/>
        </w:rPr>
      </w:pPr>
      <w:r w:rsidRPr="007575CF">
        <w:rPr>
          <w:rFonts w:asciiTheme="minorHAnsi" w:hAnsiTheme="minorHAnsi" w:cs="Arial"/>
          <w:color w:val="222222"/>
          <w:sz w:val="22"/>
        </w:rPr>
        <w:t xml:space="preserve">For preparater i NP skal en RMP utarbeides dersom produktet ikke har RMP fra før av. Dersom produktet har RMP må denne oppdateres og legges ved søknaden. </w:t>
      </w:r>
    </w:p>
    <w:p w14:paraId="28E52AE1" w14:textId="1262B328" w:rsidR="00A44F1F" w:rsidRPr="007575CF" w:rsidRDefault="00A44F1F" w:rsidP="00A44F1F">
      <w:pPr>
        <w:pStyle w:val="NormalWeb"/>
        <w:rPr>
          <w:rFonts w:asciiTheme="minorHAnsi" w:hAnsiTheme="minorHAnsi" w:cs="Arial"/>
          <w:color w:val="222222"/>
          <w:sz w:val="22"/>
        </w:rPr>
      </w:pPr>
      <w:r w:rsidRPr="007575CF">
        <w:rPr>
          <w:rFonts w:asciiTheme="minorHAnsi" w:hAnsiTheme="minorHAnsi" w:cs="Arial"/>
          <w:color w:val="222222"/>
          <w:sz w:val="22"/>
        </w:rPr>
        <w:t>F</w:t>
      </w:r>
      <w:r w:rsidR="00CE4062" w:rsidRPr="007575CF">
        <w:rPr>
          <w:rFonts w:asciiTheme="minorHAnsi" w:hAnsiTheme="minorHAnsi" w:cs="Arial"/>
          <w:color w:val="222222"/>
          <w:sz w:val="22"/>
        </w:rPr>
        <w:t>or produkter i MRP/DCP søkes reseptfrihet eller endringer i OTC-status</w:t>
      </w:r>
      <w:r w:rsidRPr="007575CF">
        <w:rPr>
          <w:rFonts w:asciiTheme="minorHAnsi" w:hAnsiTheme="minorHAnsi" w:cs="Arial"/>
          <w:color w:val="222222"/>
          <w:sz w:val="22"/>
        </w:rPr>
        <w:t xml:space="preserve"> som en ren nasjonal endring</w:t>
      </w:r>
      <w:r w:rsidR="00CE4062" w:rsidRPr="007575CF">
        <w:rPr>
          <w:rFonts w:asciiTheme="minorHAnsi" w:hAnsiTheme="minorHAnsi" w:cs="Arial"/>
          <w:color w:val="222222"/>
          <w:sz w:val="22"/>
        </w:rPr>
        <w:t xml:space="preserve"> etter MT</w:t>
      </w:r>
      <w:r w:rsidRPr="007575CF">
        <w:rPr>
          <w:rFonts w:asciiTheme="minorHAnsi" w:hAnsiTheme="minorHAnsi" w:cs="Arial"/>
          <w:color w:val="222222"/>
          <w:sz w:val="22"/>
        </w:rPr>
        <w:t xml:space="preserve">. Eventuelle nasjonale risikominimeringstiltak knyttet til utlevering av produktet skal beskrives </w:t>
      </w:r>
      <w:r w:rsidR="00CE4062" w:rsidRPr="007575CF">
        <w:rPr>
          <w:rFonts w:asciiTheme="minorHAnsi" w:hAnsiTheme="minorHAnsi" w:cs="Arial"/>
          <w:color w:val="222222"/>
          <w:sz w:val="22"/>
        </w:rPr>
        <w:t>i</w:t>
      </w:r>
      <w:r w:rsidRPr="007575CF">
        <w:rPr>
          <w:rFonts w:asciiTheme="minorHAnsi" w:hAnsiTheme="minorHAnsi" w:cs="Arial"/>
          <w:color w:val="222222"/>
          <w:sz w:val="22"/>
        </w:rPr>
        <w:t xml:space="preserve"> søknaden</w:t>
      </w:r>
      <w:r w:rsidR="00CE4062" w:rsidRPr="007575CF">
        <w:rPr>
          <w:rFonts w:asciiTheme="minorHAnsi" w:hAnsiTheme="minorHAnsi" w:cs="Arial"/>
          <w:color w:val="222222"/>
          <w:sz w:val="22"/>
        </w:rPr>
        <w:t xml:space="preserve"> og behandles rent nasjonalt</w:t>
      </w:r>
      <w:r w:rsidRPr="007575CF">
        <w:rPr>
          <w:rFonts w:asciiTheme="minorHAnsi" w:hAnsiTheme="minorHAnsi" w:cs="Arial"/>
          <w:color w:val="222222"/>
          <w:sz w:val="22"/>
        </w:rPr>
        <w:t xml:space="preserve">. Først etter </w:t>
      </w:r>
      <w:r w:rsidR="00CE4062" w:rsidRPr="007575CF">
        <w:rPr>
          <w:rFonts w:asciiTheme="minorHAnsi" w:hAnsiTheme="minorHAnsi" w:cs="Arial"/>
          <w:color w:val="222222"/>
          <w:sz w:val="22"/>
        </w:rPr>
        <w:t xml:space="preserve">den nasjonale </w:t>
      </w:r>
      <w:r w:rsidRPr="007575CF">
        <w:rPr>
          <w:rFonts w:asciiTheme="minorHAnsi" w:hAnsiTheme="minorHAnsi" w:cs="Arial"/>
          <w:color w:val="222222"/>
          <w:sz w:val="22"/>
        </w:rPr>
        <w:t>godkjenning av risikominimeringstiltak</w:t>
      </w:r>
      <w:r w:rsidR="000D4E1C" w:rsidRPr="007575CF">
        <w:rPr>
          <w:rFonts w:asciiTheme="minorHAnsi" w:hAnsiTheme="minorHAnsi" w:cs="Arial"/>
          <w:color w:val="222222"/>
          <w:sz w:val="22"/>
        </w:rPr>
        <w:t>(ene)</w:t>
      </w:r>
      <w:r w:rsidRPr="007575CF">
        <w:rPr>
          <w:rFonts w:asciiTheme="minorHAnsi" w:hAnsiTheme="minorHAnsi" w:cs="Arial"/>
          <w:color w:val="222222"/>
          <w:sz w:val="22"/>
        </w:rPr>
        <w:t xml:space="preserve"> søkes en IA notifikasjon av den felleseuropeiske RMP for å legge til en standardsetning om at nasjonale risikominimeringstiltak foreligger i enkelte medlemsland. </w:t>
      </w:r>
    </w:p>
    <w:p w14:paraId="7AAAD479" w14:textId="2BA8E3CE" w:rsidR="00A44F1F" w:rsidRPr="007575CF" w:rsidRDefault="00CE4062" w:rsidP="00A44F1F">
      <w:pPr>
        <w:pStyle w:val="NormalWeb"/>
        <w:rPr>
          <w:rFonts w:asciiTheme="minorHAnsi" w:hAnsiTheme="minorHAnsi" w:cs="Arial"/>
          <w:color w:val="222222"/>
          <w:sz w:val="22"/>
        </w:rPr>
      </w:pPr>
      <w:r w:rsidRPr="007575CF">
        <w:rPr>
          <w:rFonts w:asciiTheme="minorHAnsi" w:hAnsiTheme="minorHAnsi" w:cs="Arial"/>
          <w:color w:val="222222"/>
          <w:sz w:val="22"/>
        </w:rPr>
        <w:t xml:space="preserve">Dersom det søkers om reseptfrihet </w:t>
      </w:r>
      <w:r w:rsidR="003D0034" w:rsidRPr="007575CF">
        <w:rPr>
          <w:rFonts w:asciiTheme="minorHAnsi" w:hAnsiTheme="minorHAnsi" w:cs="Arial"/>
          <w:color w:val="222222"/>
          <w:sz w:val="22"/>
        </w:rPr>
        <w:t>ved</w:t>
      </w:r>
      <w:r w:rsidR="00A44F1F" w:rsidRPr="007575CF">
        <w:rPr>
          <w:rFonts w:asciiTheme="minorHAnsi" w:hAnsiTheme="minorHAnsi" w:cs="Arial"/>
          <w:color w:val="222222"/>
          <w:sz w:val="22"/>
        </w:rPr>
        <w:t xml:space="preserve"> søknad </w:t>
      </w:r>
      <w:r w:rsidR="00BD6C37" w:rsidRPr="007575CF">
        <w:rPr>
          <w:rFonts w:asciiTheme="minorHAnsi" w:hAnsiTheme="minorHAnsi" w:cs="Arial"/>
          <w:color w:val="222222"/>
          <w:sz w:val="22"/>
        </w:rPr>
        <w:t>s</w:t>
      </w:r>
      <w:r w:rsidR="00A44F1F" w:rsidRPr="007575CF">
        <w:rPr>
          <w:rFonts w:asciiTheme="minorHAnsi" w:hAnsiTheme="minorHAnsi" w:cs="Arial"/>
          <w:color w:val="222222"/>
          <w:sz w:val="22"/>
        </w:rPr>
        <w:t>om en ny MT i DCP</w:t>
      </w:r>
      <w:r w:rsidR="001547A2" w:rsidRPr="007575CF">
        <w:rPr>
          <w:rFonts w:asciiTheme="minorHAnsi" w:hAnsiTheme="minorHAnsi" w:cs="Arial"/>
          <w:color w:val="222222"/>
          <w:sz w:val="22"/>
        </w:rPr>
        <w:t>/MRP</w:t>
      </w:r>
      <w:r w:rsidR="00A44F1F" w:rsidRPr="007575CF">
        <w:rPr>
          <w:rFonts w:asciiTheme="minorHAnsi" w:hAnsiTheme="minorHAnsi" w:cs="Arial"/>
          <w:color w:val="222222"/>
          <w:sz w:val="22"/>
        </w:rPr>
        <w:t xml:space="preserve"> bør det allerede under prosedyren foreslås en standardsetning i den felleseuropeiske RMP</w:t>
      </w:r>
      <w:r w:rsidR="0089339E" w:rsidRPr="007575CF">
        <w:rPr>
          <w:rFonts w:asciiTheme="minorHAnsi" w:hAnsiTheme="minorHAnsi" w:cs="Arial"/>
          <w:color w:val="222222"/>
          <w:sz w:val="22"/>
        </w:rPr>
        <w:t xml:space="preserve"> dersom risikominimeringstiltak knyttet til utlevering</w:t>
      </w:r>
      <w:r w:rsidR="00247042" w:rsidRPr="007575CF">
        <w:rPr>
          <w:rFonts w:asciiTheme="minorHAnsi" w:hAnsiTheme="minorHAnsi" w:cs="Arial"/>
          <w:color w:val="222222"/>
          <w:sz w:val="22"/>
        </w:rPr>
        <w:t xml:space="preserve"> anses som</w:t>
      </w:r>
      <w:r w:rsidR="003D0034" w:rsidRPr="007575CF">
        <w:rPr>
          <w:rFonts w:asciiTheme="minorHAnsi" w:hAnsiTheme="minorHAnsi" w:cs="Arial"/>
          <w:color w:val="222222"/>
          <w:sz w:val="22"/>
        </w:rPr>
        <w:t xml:space="preserve"> nødvendig. Detaljene av t</w:t>
      </w:r>
      <w:r w:rsidR="0089339E" w:rsidRPr="007575CF">
        <w:rPr>
          <w:rFonts w:asciiTheme="minorHAnsi" w:hAnsiTheme="minorHAnsi" w:cs="Arial"/>
          <w:color w:val="222222"/>
          <w:sz w:val="22"/>
        </w:rPr>
        <w:t xml:space="preserve">iltakene </w:t>
      </w:r>
      <w:r w:rsidR="00A44F1F" w:rsidRPr="007575CF">
        <w:rPr>
          <w:rFonts w:asciiTheme="minorHAnsi" w:hAnsiTheme="minorHAnsi" w:cs="Arial"/>
          <w:color w:val="222222"/>
          <w:sz w:val="22"/>
        </w:rPr>
        <w:t>beskrive</w:t>
      </w:r>
      <w:r w:rsidR="0089339E" w:rsidRPr="007575CF">
        <w:rPr>
          <w:rFonts w:asciiTheme="minorHAnsi" w:hAnsiTheme="minorHAnsi" w:cs="Arial"/>
          <w:color w:val="222222"/>
          <w:sz w:val="22"/>
        </w:rPr>
        <w:t>s</w:t>
      </w:r>
      <w:r w:rsidR="003D0034" w:rsidRPr="007575CF">
        <w:rPr>
          <w:rFonts w:asciiTheme="minorHAnsi" w:hAnsiTheme="minorHAnsi" w:cs="Arial"/>
          <w:color w:val="222222"/>
          <w:sz w:val="22"/>
        </w:rPr>
        <w:t>, vurderes og godkjennes nasjonalt.</w:t>
      </w:r>
    </w:p>
    <w:p w14:paraId="06A624E4" w14:textId="77777777" w:rsidR="00A44F1F" w:rsidRPr="007575CF" w:rsidRDefault="00A44F1F" w:rsidP="00A44F1F">
      <w:pPr>
        <w:pStyle w:val="NormalWeb"/>
        <w:rPr>
          <w:rFonts w:asciiTheme="minorHAnsi" w:hAnsiTheme="minorHAnsi" w:cs="Arial"/>
          <w:color w:val="222222"/>
          <w:sz w:val="22"/>
        </w:rPr>
      </w:pPr>
    </w:p>
    <w:p w14:paraId="71D77345" w14:textId="77777777" w:rsidR="00A44F1F" w:rsidRPr="007575CF" w:rsidRDefault="00A44F1F" w:rsidP="000A54B9">
      <w:pPr>
        <w:pStyle w:val="NormalWeb"/>
        <w:rPr>
          <w:rFonts w:asciiTheme="minorHAnsi" w:hAnsiTheme="minorHAnsi" w:cs="Arial"/>
          <w:color w:val="222222"/>
          <w:sz w:val="22"/>
        </w:rPr>
      </w:pPr>
    </w:p>
    <w:p w14:paraId="784082A8" w14:textId="745E2057" w:rsidR="00424676" w:rsidRPr="007575CF" w:rsidRDefault="000D4E1C" w:rsidP="000A54B9">
      <w:pPr>
        <w:pStyle w:val="NormalWeb"/>
        <w:rPr>
          <w:rFonts w:asciiTheme="minorHAnsi" w:hAnsiTheme="minorHAnsi" w:cs="Arial"/>
          <w:color w:val="222222"/>
          <w:sz w:val="22"/>
        </w:rPr>
      </w:pPr>
      <w:r w:rsidRPr="007575CF">
        <w:rPr>
          <w:rFonts w:asciiTheme="minorHAnsi" w:hAnsiTheme="minorHAnsi" w:cs="Arial"/>
          <w:color w:val="222222"/>
          <w:sz w:val="22"/>
        </w:rPr>
        <w:t>Eksempler på risikominimeringstiltak knyttet til utlevering kan være:</w:t>
      </w:r>
    </w:p>
    <w:p w14:paraId="1C318DCB" w14:textId="77777777" w:rsidR="000D4E1C" w:rsidRPr="007575CF" w:rsidRDefault="000D4E1C" w:rsidP="000D4E1C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22222"/>
          <w:sz w:val="22"/>
        </w:rPr>
      </w:pPr>
      <w:commentRangeStart w:id="1"/>
      <w:r w:rsidRPr="007575CF">
        <w:rPr>
          <w:rFonts w:asciiTheme="minorHAnsi" w:hAnsiTheme="minorHAnsi" w:cs="Arial"/>
          <w:color w:val="222222"/>
          <w:sz w:val="22"/>
        </w:rPr>
        <w:t>Sjekkliste til bruk under samtale med pasient i apotek</w:t>
      </w:r>
      <w:commentRangeEnd w:id="1"/>
      <w:r w:rsidR="004B1890" w:rsidRPr="007575CF">
        <w:rPr>
          <w:rStyle w:val="Merknadsreferanse"/>
          <w:rFonts w:asciiTheme="minorHAnsi" w:eastAsiaTheme="minorHAnsi" w:hAnsiTheme="minorHAnsi" w:cstheme="minorBidi"/>
          <w:lang w:eastAsia="en-US"/>
        </w:rPr>
        <w:commentReference w:id="1"/>
      </w:r>
    </w:p>
    <w:p w14:paraId="34196B54" w14:textId="5EE6E2C1" w:rsidR="000D4E1C" w:rsidRPr="007575CF" w:rsidRDefault="000D4E1C" w:rsidP="000D4E1C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22222"/>
          <w:sz w:val="22"/>
        </w:rPr>
      </w:pPr>
      <w:r w:rsidRPr="007575CF">
        <w:rPr>
          <w:rFonts w:asciiTheme="minorHAnsi" w:hAnsiTheme="minorHAnsi" w:cs="Arial"/>
          <w:color w:val="222222"/>
          <w:sz w:val="22"/>
        </w:rPr>
        <w:t>Spørsmål</w:t>
      </w:r>
      <w:r w:rsidR="00E139FA" w:rsidRPr="007575CF">
        <w:rPr>
          <w:rFonts w:asciiTheme="minorHAnsi" w:hAnsiTheme="minorHAnsi" w:cs="Arial"/>
          <w:color w:val="222222"/>
          <w:sz w:val="22"/>
        </w:rPr>
        <w:t>sliste til bruk ved</w:t>
      </w:r>
      <w:r w:rsidRPr="007575CF">
        <w:rPr>
          <w:rFonts w:asciiTheme="minorHAnsi" w:hAnsiTheme="minorHAnsi" w:cs="Arial"/>
          <w:color w:val="222222"/>
          <w:sz w:val="22"/>
        </w:rPr>
        <w:t xml:space="preserve"> utlevering</w:t>
      </w:r>
    </w:p>
    <w:p w14:paraId="4E375366" w14:textId="4A41BADC" w:rsidR="000D4E1C" w:rsidRPr="007575CF" w:rsidRDefault="00581ADF" w:rsidP="000D4E1C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22222"/>
          <w:sz w:val="22"/>
        </w:rPr>
      </w:pPr>
      <w:r w:rsidRPr="007575CF">
        <w:rPr>
          <w:rFonts w:asciiTheme="minorHAnsi" w:hAnsiTheme="minorHAnsi" w:cs="Arial"/>
          <w:color w:val="222222"/>
          <w:sz w:val="22"/>
        </w:rPr>
        <w:t>Kompetansekrav f</w:t>
      </w:r>
      <w:r w:rsidR="000D4E1C" w:rsidRPr="007575CF">
        <w:rPr>
          <w:rFonts w:asciiTheme="minorHAnsi" w:hAnsiTheme="minorHAnsi" w:cs="Arial"/>
          <w:color w:val="222222"/>
          <w:sz w:val="22"/>
        </w:rPr>
        <w:t>or utlevering</w:t>
      </w:r>
      <w:r w:rsidRPr="007575CF">
        <w:rPr>
          <w:rFonts w:asciiTheme="minorHAnsi" w:hAnsiTheme="minorHAnsi" w:cs="Arial"/>
          <w:color w:val="222222"/>
          <w:sz w:val="22"/>
        </w:rPr>
        <w:t xml:space="preserve"> i apotek</w:t>
      </w:r>
    </w:p>
    <w:p w14:paraId="46B46C81" w14:textId="5E682A3D" w:rsidR="000D4E1C" w:rsidRPr="007575CF" w:rsidRDefault="00581ADF" w:rsidP="000A54B9">
      <w:pPr>
        <w:pStyle w:val="NormalWeb"/>
        <w:numPr>
          <w:ilvl w:val="0"/>
          <w:numId w:val="1"/>
        </w:numPr>
        <w:rPr>
          <w:rFonts w:asciiTheme="minorHAnsi" w:hAnsiTheme="minorHAnsi" w:cs="Arial"/>
          <w:color w:val="222222"/>
          <w:sz w:val="22"/>
        </w:rPr>
      </w:pPr>
      <w:r w:rsidRPr="007575CF">
        <w:rPr>
          <w:rFonts w:asciiTheme="minorHAnsi" w:hAnsiTheme="minorHAnsi" w:cs="Arial"/>
          <w:color w:val="222222"/>
          <w:sz w:val="22"/>
        </w:rPr>
        <w:t>Tidligere</w:t>
      </w:r>
      <w:r w:rsidR="000D4E1C" w:rsidRPr="007575CF">
        <w:rPr>
          <w:rFonts w:asciiTheme="minorHAnsi" w:hAnsiTheme="minorHAnsi" w:cs="Arial"/>
          <w:color w:val="222222"/>
          <w:sz w:val="22"/>
        </w:rPr>
        <w:t xml:space="preserve"> forskrivning </w:t>
      </w:r>
    </w:p>
    <w:p w14:paraId="7948722E" w14:textId="77777777" w:rsidR="00DA252F" w:rsidRPr="007575CF" w:rsidRDefault="00DA252F" w:rsidP="000A54B9">
      <w:pPr>
        <w:pStyle w:val="NormalWeb"/>
        <w:rPr>
          <w:rFonts w:asciiTheme="minorHAnsi" w:hAnsiTheme="minorHAnsi" w:cs="Arial"/>
          <w:color w:val="222222"/>
          <w:sz w:val="22"/>
        </w:rPr>
      </w:pPr>
    </w:p>
    <w:p w14:paraId="6B51416D" w14:textId="77777777" w:rsidR="00DA252F" w:rsidRPr="007575CF" w:rsidRDefault="00DA252F" w:rsidP="000A54B9">
      <w:pPr>
        <w:pStyle w:val="NormalWeb"/>
        <w:rPr>
          <w:rFonts w:asciiTheme="minorHAnsi" w:hAnsiTheme="minorHAnsi" w:cs="Arial"/>
          <w:color w:val="222222"/>
          <w:sz w:val="22"/>
        </w:rPr>
      </w:pPr>
    </w:p>
    <w:p w14:paraId="4CF59D2D" w14:textId="77777777" w:rsidR="000A54B9" w:rsidRPr="007575CF" w:rsidRDefault="000A54B9" w:rsidP="008D6F20">
      <w:pPr>
        <w:pStyle w:val="Overskrift2"/>
        <w:rPr>
          <w:rFonts w:asciiTheme="minorHAnsi" w:eastAsia="Times New Roman" w:hAnsiTheme="minorHAnsi"/>
        </w:rPr>
      </w:pPr>
      <w:r w:rsidRPr="007575CF">
        <w:rPr>
          <w:rFonts w:asciiTheme="minorHAnsi" w:eastAsia="Times New Roman" w:hAnsiTheme="minorHAnsi"/>
        </w:rPr>
        <w:t xml:space="preserve">Produktinformasjon </w:t>
      </w:r>
    </w:p>
    <w:p w14:paraId="059BAE4E" w14:textId="6B221F7D" w:rsidR="000A54B9" w:rsidRPr="007575CF" w:rsidRDefault="000A54B9" w:rsidP="0027100D">
      <w:r w:rsidRPr="007575CF">
        <w:t>Foreslått</w:t>
      </w:r>
      <w:r w:rsidR="00581ADF" w:rsidRPr="007575CF">
        <w:t xml:space="preserve"> norsk</w:t>
      </w:r>
      <w:r w:rsidRPr="007575CF">
        <w:t xml:space="preserve"> preparatomtale (SmPC), pakningsvedlegg (PIL) og mock-ups skal legges ved søknaden. Søker skal ta hensyn til en eventuell virkestoffrapport når produktinformasjonen utarbeides. Legemidler i reseptgruppe CF skal ha pakningsvedlegg (OTC-PIL) og mock-ups (OTC-mock-ups) for pakninger unntatt reseptplikt i tillegg til pakningsvedlegg og mock-ups for reseptpliktige pakninger (Rx-PIL, Rx-mock-ups)</w:t>
      </w:r>
      <w:r w:rsidR="00247042" w:rsidRPr="007575CF">
        <w:t xml:space="preserve"> dersom disse m</w:t>
      </w:r>
      <w:r w:rsidR="009F3FED" w:rsidRPr="007575CF">
        <w:t>a</w:t>
      </w:r>
      <w:r w:rsidR="00247042" w:rsidRPr="007575CF">
        <w:t>rkedsføres</w:t>
      </w:r>
      <w:r w:rsidRPr="007575CF">
        <w:t>. I OTC-PIL skal kun reseptfrie indikasjoner og dosering beskrives.</w:t>
      </w:r>
    </w:p>
    <w:p w14:paraId="407A897A" w14:textId="77777777" w:rsidR="000A54B9" w:rsidRPr="007575CF" w:rsidRDefault="000A54B9" w:rsidP="0027100D"/>
    <w:p w14:paraId="37F8EE6E" w14:textId="77777777" w:rsidR="000A54B9" w:rsidRPr="007575CF" w:rsidRDefault="000A54B9" w:rsidP="0027100D">
      <w:pPr>
        <w:rPr>
          <w:b/>
          <w:bCs/>
          <w:i/>
        </w:rPr>
      </w:pPr>
      <w:r w:rsidRPr="007575CF">
        <w:rPr>
          <w:b/>
          <w:bCs/>
          <w:i/>
        </w:rPr>
        <w:t xml:space="preserve">Lesbarhetstest </w:t>
      </w:r>
    </w:p>
    <w:p w14:paraId="63DFB505" w14:textId="1EB8F29D" w:rsidR="000A54B9" w:rsidRPr="007575CF" w:rsidRDefault="000A54B9" w:rsidP="0027100D">
      <w:pPr>
        <w:rPr>
          <w:lang w:val="en"/>
        </w:rPr>
      </w:pPr>
      <w:r w:rsidRPr="007575CF">
        <w:t xml:space="preserve">Lesbarhetstest er et krav ved endring av reseptstatus jf </w:t>
      </w:r>
      <w:hyperlink r:id="rId12" w:tgtFrame="_blank" w:history="1">
        <w:r w:rsidRPr="007575CF">
          <w:rPr>
            <w:rStyle w:val="Hyperkobling"/>
            <w:rFonts w:cs="Arial"/>
            <w:lang w:eastAsia="nb-NO"/>
          </w:rPr>
          <w:t>Guideline on the readability of the labelling and package leaflet of medicinal products for human use</w:t>
        </w:r>
      </w:hyperlink>
      <w:r w:rsidRPr="007575CF">
        <w:t>. Søker skal sende inn full l</w:t>
      </w:r>
      <w:r w:rsidR="005F7B0A" w:rsidRPr="007575CF">
        <w:t>esbarhetstest, alternativt en</w:t>
      </w:r>
      <w:r w:rsidRPr="007575CF">
        <w:t xml:space="preserve"> «bridging report» som bygger på tidligere utført lesbarhetstest, dersom dette </w:t>
      </w:r>
      <w:r w:rsidRPr="007575CF">
        <w:lastRenderedPageBreak/>
        <w:t xml:space="preserve">begrunnes. </w:t>
      </w:r>
      <w:r w:rsidRPr="007575CF">
        <w:rPr>
          <w:lang w:val="en"/>
        </w:rPr>
        <w:t xml:space="preserve">For utfyllende informasjon se </w:t>
      </w:r>
      <w:hyperlink r:id="rId13" w:history="1">
        <w:r w:rsidRPr="007575CF">
          <w:rPr>
            <w:rStyle w:val="Hyperkobling"/>
            <w:rFonts w:cs="Arial"/>
            <w:lang w:val="en" w:eastAsia="nb-NO"/>
          </w:rPr>
          <w:t>Consultatio</w:t>
        </w:r>
        <w:r w:rsidRPr="007575CF">
          <w:rPr>
            <w:rStyle w:val="Hyperkobling"/>
            <w:lang w:val="en"/>
          </w:rPr>
          <w:t>n with target patient groups</w:t>
        </w:r>
      </w:hyperlink>
      <w:r w:rsidRPr="007575CF">
        <w:rPr>
          <w:lang w:val="en"/>
        </w:rPr>
        <w:t xml:space="preserve"> – meeting the requirements of article 59(3) without the need for a full user test – recommendations for bridging.</w:t>
      </w:r>
    </w:p>
    <w:p w14:paraId="176504B0" w14:textId="77777777" w:rsidR="00824A78" w:rsidRPr="007575CF" w:rsidRDefault="00824A78" w:rsidP="00824A78">
      <w:pPr>
        <w:pStyle w:val="NormalWeb"/>
        <w:rPr>
          <w:rFonts w:asciiTheme="minorHAnsi" w:hAnsiTheme="minorHAnsi" w:cs="Arial"/>
          <w:color w:val="222222"/>
          <w:sz w:val="22"/>
          <w:lang w:val="en-US"/>
        </w:rPr>
      </w:pPr>
    </w:p>
    <w:p w14:paraId="3F1727F4" w14:textId="77777777" w:rsidR="00944E26" w:rsidRPr="007575CF" w:rsidRDefault="00944E26" w:rsidP="00944E26">
      <w:pPr>
        <w:pStyle w:val="Overskrift1"/>
        <w:rPr>
          <w:rFonts w:asciiTheme="minorHAnsi" w:hAnsiTheme="minorHAnsi"/>
        </w:rPr>
      </w:pPr>
      <w:r w:rsidRPr="007575CF">
        <w:rPr>
          <w:rFonts w:asciiTheme="minorHAnsi" w:hAnsiTheme="minorHAnsi"/>
        </w:rPr>
        <w:t>Utredning hos SLV</w:t>
      </w:r>
    </w:p>
    <w:p w14:paraId="77CB1411" w14:textId="282BFDC6" w:rsidR="0066182F" w:rsidRPr="007575CF" w:rsidRDefault="0066182F" w:rsidP="00802F8F">
      <w:r w:rsidRPr="007575CF">
        <w:t>Ved søknad om reseptfrihet (med eller uten spesielle risikominimeringstiltak som er knyttet til utlevering</w:t>
      </w:r>
      <w:r w:rsidR="00740C5F" w:rsidRPr="007575CF">
        <w:t>en</w:t>
      </w:r>
      <w:r w:rsidRPr="007575CF">
        <w:t xml:space="preserve">) utreder legemiddelverket egnethet av produktet som CF/F og om foreslåtte risikominimeringstiltak er nødvendig og/eller tilstrekkelig. Legemiddelverket vil </w:t>
      </w:r>
      <w:r w:rsidR="00740C5F" w:rsidRPr="007575CF">
        <w:t xml:space="preserve">ved behov </w:t>
      </w:r>
      <w:r w:rsidRPr="007575CF">
        <w:t xml:space="preserve">konsultere relevante aktører </w:t>
      </w:r>
      <w:r w:rsidR="000A7BBC" w:rsidRPr="007575CF">
        <w:t xml:space="preserve">og/eller gjennomføre en høring </w:t>
      </w:r>
      <w:r w:rsidRPr="007575CF">
        <w:t>for å avklare både faglige og praktiske konsekvenser av den omsøkte endringen.</w:t>
      </w:r>
    </w:p>
    <w:p w14:paraId="371ED3A7" w14:textId="347606D3" w:rsidR="00953344" w:rsidRPr="007575CF" w:rsidRDefault="00D62CF8" w:rsidP="00802F8F">
      <w:r w:rsidRPr="007575CF">
        <w:t xml:space="preserve">Dersom det er nødvendig med risikominimeringstiltak knyttet til utlevering i apotek, skal følgende </w:t>
      </w:r>
      <w:r w:rsidR="005F7B0A" w:rsidRPr="007575CF">
        <w:t>tilleggs</w:t>
      </w:r>
      <w:r w:rsidR="00906D76">
        <w:t xml:space="preserve">punkter vurderes og </w:t>
      </w:r>
      <w:r w:rsidR="00953344" w:rsidRPr="007575CF">
        <w:t>avklares:</w:t>
      </w:r>
    </w:p>
    <w:p w14:paraId="5237982C" w14:textId="39D5A268" w:rsidR="00885E24" w:rsidRPr="007575CF" w:rsidRDefault="00885E24" w:rsidP="00953344">
      <w:pPr>
        <w:pStyle w:val="Listeavsnitt"/>
        <w:numPr>
          <w:ilvl w:val="0"/>
          <w:numId w:val="2"/>
        </w:numPr>
      </w:pPr>
      <w:r w:rsidRPr="007575CF">
        <w:t>Kompetansekrav for utlevering i apotek</w:t>
      </w:r>
    </w:p>
    <w:p w14:paraId="72310B88" w14:textId="60CECFB4" w:rsidR="00A314C7" w:rsidRPr="007575CF" w:rsidRDefault="00A314C7" w:rsidP="00A314C7">
      <w:pPr>
        <w:pStyle w:val="Listeavsnitt"/>
        <w:numPr>
          <w:ilvl w:val="0"/>
          <w:numId w:val="2"/>
        </w:numPr>
      </w:pPr>
      <w:r w:rsidRPr="007575CF">
        <w:t>Hvordan skal opplæringen av apotekpersonalet skje</w:t>
      </w:r>
      <w:r w:rsidR="00885E24" w:rsidRPr="007575CF">
        <w:t>?</w:t>
      </w:r>
    </w:p>
    <w:p w14:paraId="3F69E613" w14:textId="790305ED" w:rsidR="00953344" w:rsidRPr="007575CF" w:rsidRDefault="00953344" w:rsidP="00953344">
      <w:pPr>
        <w:pStyle w:val="Listeavsnitt"/>
        <w:numPr>
          <w:ilvl w:val="0"/>
          <w:numId w:val="2"/>
        </w:numPr>
      </w:pPr>
      <w:r w:rsidRPr="007575CF">
        <w:t>Aksepteres fullmakt</w:t>
      </w:r>
      <w:r w:rsidR="00885E24" w:rsidRPr="007575CF">
        <w:t>?</w:t>
      </w:r>
    </w:p>
    <w:p w14:paraId="525C5337" w14:textId="5AF47D22" w:rsidR="00AC1A6C" w:rsidRPr="007575CF" w:rsidRDefault="009709A2" w:rsidP="00953344">
      <w:pPr>
        <w:pStyle w:val="Listeavsnitt"/>
        <w:numPr>
          <w:ilvl w:val="0"/>
          <w:numId w:val="2"/>
        </w:numPr>
      </w:pPr>
      <w:r w:rsidRPr="007575CF">
        <w:t>Kan et nettapotek ivareta risikominimeringstiltakene som er foreslått?</w:t>
      </w:r>
    </w:p>
    <w:p w14:paraId="1F405E90" w14:textId="28B958C9" w:rsidR="00AC1A6C" w:rsidRPr="007575CF" w:rsidRDefault="00AC1A6C" w:rsidP="00953344">
      <w:pPr>
        <w:pStyle w:val="Listeavsnitt"/>
        <w:numPr>
          <w:ilvl w:val="0"/>
          <w:numId w:val="2"/>
        </w:numPr>
      </w:pPr>
      <w:r w:rsidRPr="007575CF">
        <w:t>Bør det foreligge en tidligere forskrivning</w:t>
      </w:r>
      <w:r w:rsidR="00885E24" w:rsidRPr="007575CF">
        <w:t>?</w:t>
      </w:r>
    </w:p>
    <w:p w14:paraId="3F469D1E" w14:textId="698FF1AE" w:rsidR="00AC1A6C" w:rsidRPr="007575CF" w:rsidRDefault="00AC1A6C" w:rsidP="00953344">
      <w:pPr>
        <w:pStyle w:val="Listeavsnitt"/>
        <w:numPr>
          <w:ilvl w:val="0"/>
          <w:numId w:val="2"/>
        </w:numPr>
      </w:pPr>
      <w:r w:rsidRPr="007575CF">
        <w:t xml:space="preserve">Sjekkliste eller </w:t>
      </w:r>
      <w:r w:rsidR="00A314C7" w:rsidRPr="007575CF">
        <w:t>spørsmålsliste</w:t>
      </w:r>
      <w:r w:rsidR="00885E24" w:rsidRPr="007575CF">
        <w:t>?</w:t>
      </w:r>
    </w:p>
    <w:p w14:paraId="1F760FDB" w14:textId="77777777" w:rsidR="00AC1A6C" w:rsidRPr="007575CF" w:rsidRDefault="00AC1A6C" w:rsidP="00A314C7">
      <w:pPr>
        <w:pStyle w:val="Listeavsnitt"/>
      </w:pPr>
    </w:p>
    <w:p w14:paraId="0002786C" w14:textId="105A38A2" w:rsidR="007534AD" w:rsidRPr="007575CF" w:rsidRDefault="007534AD" w:rsidP="00DE07B8">
      <w:r w:rsidRPr="007575CF">
        <w:t>Vanlig saksbehandlingstid vil være 60 dager, med mulighet for clock-stop og en ny runde saksbehandling på 60 dager.</w:t>
      </w:r>
    </w:p>
    <w:p w14:paraId="76649BC5" w14:textId="77777777" w:rsidR="00944E26" w:rsidRPr="007575CF" w:rsidRDefault="00944E26" w:rsidP="00944E26">
      <w:pPr>
        <w:pStyle w:val="Overskrift1"/>
        <w:rPr>
          <w:rFonts w:asciiTheme="minorHAnsi" w:hAnsiTheme="minorHAnsi"/>
        </w:rPr>
      </w:pPr>
      <w:r w:rsidRPr="007575CF">
        <w:rPr>
          <w:rFonts w:asciiTheme="minorHAnsi" w:hAnsiTheme="minorHAnsi"/>
        </w:rPr>
        <w:t>Vedtak</w:t>
      </w:r>
    </w:p>
    <w:p w14:paraId="63B09658" w14:textId="77777777" w:rsidR="0080156D" w:rsidRDefault="000A7BBC" w:rsidP="0080156D">
      <w:r w:rsidRPr="007575CF">
        <w:t xml:space="preserve">Det vil fremgå </w:t>
      </w:r>
      <w:r w:rsidR="00FA2AD3" w:rsidRPr="007575CF">
        <w:t>hvilke produkter og hvilke pakninger har fått godkjent reseptgruppe CF/ F</w:t>
      </w:r>
      <w:r w:rsidRPr="007575CF">
        <w:t xml:space="preserve"> i legemiddelsøk (legemiddelverket.no) og i Felleskatalogen</w:t>
      </w:r>
      <w:r w:rsidR="00FA2AD3" w:rsidRPr="007575CF">
        <w:t>.</w:t>
      </w:r>
      <w:r w:rsidR="0080156D" w:rsidRPr="0080156D">
        <w:t xml:space="preserve"> </w:t>
      </w:r>
    </w:p>
    <w:p w14:paraId="1B849A6E" w14:textId="51283338" w:rsidR="00A554BC" w:rsidRPr="007C0F5D" w:rsidRDefault="0080156D" w:rsidP="00424676">
      <w:r w:rsidRPr="007C0F5D">
        <w:t xml:space="preserve">Godkjent(e) reseptfri(e) indikasjon(er), dosering, pakningsstørrelse(r), styrke(r) og eventuelle risikominimeringstiltak som er knyttet til utleveringen vil fremgå av både godkjenningsbrevet på produktnivå og virkestoffrapport på virkestoffnivå. </w:t>
      </w:r>
      <w:r w:rsidR="00213211" w:rsidRPr="007C0F5D">
        <w:t>For</w:t>
      </w:r>
      <w:r w:rsidRPr="007C0F5D">
        <w:t xml:space="preserve"> alle</w:t>
      </w:r>
      <w:r w:rsidR="00213211" w:rsidRPr="007C0F5D">
        <w:t xml:space="preserve"> virkestoff som </w:t>
      </w:r>
      <w:r w:rsidR="00D90122" w:rsidRPr="007C0F5D">
        <w:t>kan utleveres uten resept utarbeider og publiserer legemiddelverket virkestoffrapporter</w:t>
      </w:r>
      <w:r w:rsidRPr="007C0F5D">
        <w:t>.</w:t>
      </w:r>
      <w:r w:rsidR="00D90122" w:rsidRPr="007C0F5D">
        <w:t xml:space="preserve"> </w:t>
      </w:r>
      <w:r w:rsidRPr="007C0F5D">
        <w:t>I begge dokumentene vil</w:t>
      </w:r>
      <w:r w:rsidR="00DE07B8" w:rsidRPr="007C0F5D">
        <w:t xml:space="preserve"> alle krav som er knyttet til tiltaket/tiltakene</w:t>
      </w:r>
      <w:r w:rsidRPr="007C0F5D">
        <w:t xml:space="preserve"> fremgå</w:t>
      </w:r>
      <w:r w:rsidR="00A554BC" w:rsidRPr="007C0F5D">
        <w:t>, som:</w:t>
      </w:r>
    </w:p>
    <w:p w14:paraId="34E764AA" w14:textId="546273C8" w:rsidR="00A554BC" w:rsidRPr="007C0F5D" w:rsidRDefault="00A554BC" w:rsidP="00906D76">
      <w:pPr>
        <w:pStyle w:val="Listeavsnitt"/>
        <w:numPr>
          <w:ilvl w:val="0"/>
          <w:numId w:val="4"/>
        </w:numPr>
      </w:pPr>
      <w:r w:rsidRPr="007C0F5D">
        <w:t>Hvem på apoteket kan utlevere og gjennomføre risikominimeringstiltaket (helsepersonell)</w:t>
      </w:r>
    </w:p>
    <w:p w14:paraId="60009D04" w14:textId="4DB89005" w:rsidR="00A554BC" w:rsidRPr="007C0F5D" w:rsidRDefault="00906D76" w:rsidP="00906D76">
      <w:pPr>
        <w:pStyle w:val="Listeavsnitt"/>
        <w:numPr>
          <w:ilvl w:val="0"/>
          <w:numId w:val="4"/>
        </w:numPr>
      </w:pPr>
      <w:r w:rsidRPr="007C0F5D">
        <w:t>Gjennom hvilke kanaler</w:t>
      </w:r>
      <w:r w:rsidR="00A554BC" w:rsidRPr="007C0F5D">
        <w:t xml:space="preserve"> opplæringen </w:t>
      </w:r>
      <w:r w:rsidRPr="007C0F5D">
        <w:t xml:space="preserve">av apotekpersonalet </w:t>
      </w:r>
      <w:r w:rsidR="00A554BC" w:rsidRPr="007C0F5D">
        <w:t>skal skje</w:t>
      </w:r>
    </w:p>
    <w:p w14:paraId="3C79EA68" w14:textId="2DFF429A" w:rsidR="00906D76" w:rsidRPr="007C0F5D" w:rsidRDefault="00906D76" w:rsidP="00906D76">
      <w:pPr>
        <w:pStyle w:val="Listeavsnitt"/>
        <w:numPr>
          <w:ilvl w:val="0"/>
          <w:numId w:val="4"/>
        </w:numPr>
      </w:pPr>
      <w:r w:rsidRPr="007C0F5D">
        <w:t>Om fullmakt aksepteres ved utlevering</w:t>
      </w:r>
    </w:p>
    <w:p w14:paraId="34AADB33" w14:textId="3CB2BCD0" w:rsidR="00906D76" w:rsidRPr="007C0F5D" w:rsidRDefault="00906D76" w:rsidP="00906D76">
      <w:pPr>
        <w:pStyle w:val="Listeavsnitt"/>
        <w:numPr>
          <w:ilvl w:val="0"/>
          <w:numId w:val="4"/>
        </w:numPr>
      </w:pPr>
      <w:r w:rsidRPr="007C0F5D">
        <w:t>Om et nettapotek kan utlevere og i så fall under hvilke forutsetninger</w:t>
      </w:r>
    </w:p>
    <w:p w14:paraId="7EA5E0EC" w14:textId="1D742099" w:rsidR="00906D76" w:rsidRPr="007C0F5D" w:rsidRDefault="00906D76" w:rsidP="00906D76">
      <w:pPr>
        <w:pStyle w:val="Listeavsnitt"/>
        <w:numPr>
          <w:ilvl w:val="0"/>
          <w:numId w:val="4"/>
        </w:numPr>
      </w:pPr>
      <w:r w:rsidRPr="007C0F5D">
        <w:t>Om det bør foreligge en tidligere forskrivning og hvor denne informasjonen skal hentes fra</w:t>
      </w:r>
    </w:p>
    <w:p w14:paraId="6B405119" w14:textId="7D5F826B" w:rsidR="00906D76" w:rsidRPr="007C0F5D" w:rsidRDefault="00906D76" w:rsidP="00906D76">
      <w:pPr>
        <w:pStyle w:val="Listeavsnitt"/>
        <w:numPr>
          <w:ilvl w:val="0"/>
          <w:numId w:val="4"/>
        </w:numPr>
      </w:pPr>
      <w:r w:rsidRPr="007C0F5D">
        <w:t>Sjekkliste/spørsmålsliste dersom dette er vedtatt</w:t>
      </w:r>
    </w:p>
    <w:p w14:paraId="014072C0" w14:textId="49253ECF" w:rsidR="00947DC2" w:rsidRPr="007575CF" w:rsidRDefault="008C0638" w:rsidP="00424676">
      <w:r w:rsidRPr="007575CF">
        <w:t xml:space="preserve"> </w:t>
      </w:r>
      <w:r w:rsidR="00FA2AD3" w:rsidRPr="007575CF">
        <w:t xml:space="preserve">Les mer om virkestoffrapporter </w:t>
      </w:r>
      <w:hyperlink r:id="rId14" w:history="1">
        <w:r w:rsidR="00FA2AD3" w:rsidRPr="007575CF">
          <w:rPr>
            <w:rStyle w:val="Hyperkobling"/>
          </w:rPr>
          <w:t>her</w:t>
        </w:r>
      </w:hyperlink>
      <w:r w:rsidR="007575CF" w:rsidRPr="007575CF">
        <w:t>.</w:t>
      </w:r>
    </w:p>
    <w:p w14:paraId="0CB8D67F" w14:textId="77777777" w:rsidR="00944E26" w:rsidRPr="007575CF" w:rsidRDefault="00944E26" w:rsidP="00944E26">
      <w:pPr>
        <w:pStyle w:val="Overskrift1"/>
        <w:rPr>
          <w:rFonts w:asciiTheme="minorHAnsi" w:hAnsiTheme="minorHAnsi"/>
        </w:rPr>
      </w:pPr>
      <w:r w:rsidRPr="007575CF">
        <w:rPr>
          <w:rFonts w:asciiTheme="minorHAnsi" w:hAnsiTheme="minorHAnsi"/>
        </w:rPr>
        <w:t>Forpliktelser etter godkjenning</w:t>
      </w:r>
    </w:p>
    <w:p w14:paraId="760F6F2B" w14:textId="6D836A22" w:rsidR="00B234D5" w:rsidRPr="007575CF" w:rsidRDefault="00B234D5" w:rsidP="00CC4CAE">
      <w:r w:rsidRPr="007575CF">
        <w:t xml:space="preserve">Reseptfrie legemidler med spesielle risikominimeringstiltak knyttet til utlevering kan ikke selges utenom apotek (LUA) eller som </w:t>
      </w:r>
      <w:r w:rsidR="005A643F" w:rsidRPr="007575CF">
        <w:t>vanlige</w:t>
      </w:r>
      <w:r w:rsidRPr="007575CF">
        <w:t xml:space="preserve"> reseptfrie legemidler i medisinutsalg. </w:t>
      </w:r>
    </w:p>
    <w:p w14:paraId="0AB63090" w14:textId="1E24F153" w:rsidR="00E80231" w:rsidRPr="007575CF" w:rsidRDefault="009F77F5" w:rsidP="00CC4CAE">
      <w:r w:rsidRPr="007575CF">
        <w:lastRenderedPageBreak/>
        <w:t>MT-innehaver er forpliktet</w:t>
      </w:r>
      <w:r w:rsidR="00B234D5" w:rsidRPr="007575CF">
        <w:t xml:space="preserve"> til å distribuere godkjent </w:t>
      </w:r>
      <w:r w:rsidR="00E80231" w:rsidRPr="007575CF">
        <w:t>opplæringsmateriale</w:t>
      </w:r>
      <w:r w:rsidR="00B234D5" w:rsidRPr="007575CF">
        <w:t xml:space="preserve"> og sjekkliste</w:t>
      </w:r>
      <w:r w:rsidR="00E80231" w:rsidRPr="007575CF">
        <w:t xml:space="preserve"> ihht godkjenningen</w:t>
      </w:r>
      <w:r w:rsidR="00B234D5" w:rsidRPr="007575CF">
        <w:t xml:space="preserve">. </w:t>
      </w:r>
    </w:p>
    <w:p w14:paraId="4C47FC7B" w14:textId="606B64B4" w:rsidR="00B234D5" w:rsidRPr="007575CF" w:rsidRDefault="00E80231" w:rsidP="00CC4CAE">
      <w:r w:rsidRPr="007575CF">
        <w:t xml:space="preserve">Legemiddelverket </w:t>
      </w:r>
      <w:r w:rsidR="009F77F5" w:rsidRPr="007575CF">
        <w:t xml:space="preserve">vil under godkjenningsprosessen </w:t>
      </w:r>
      <w:r w:rsidRPr="007575CF">
        <w:t>påse at o</w:t>
      </w:r>
      <w:r w:rsidR="00B234D5" w:rsidRPr="007575CF">
        <w:t xml:space="preserve">pplæringsmateriell og sjekklister </w:t>
      </w:r>
      <w:r w:rsidRPr="007575CF">
        <w:t>er generisk</w:t>
      </w:r>
      <w:r w:rsidR="009F77F5" w:rsidRPr="007575CF">
        <w:t>e</w:t>
      </w:r>
      <w:r w:rsidR="00906D76">
        <w:t xml:space="preserve"> og likelydende vedtak treffes for like produkter.</w:t>
      </w:r>
    </w:p>
    <w:p w14:paraId="250BAE2F" w14:textId="6792382C" w:rsidR="00B234D5" w:rsidRPr="007575CF" w:rsidRDefault="00B234D5" w:rsidP="00CC4CAE">
      <w:r w:rsidRPr="007C0F5D">
        <w:t>Apotek</w:t>
      </w:r>
      <w:r w:rsidR="00CF7C78" w:rsidRPr="007C0F5D">
        <w:t xml:space="preserve">bransjen har ansvar for å sørge for </w:t>
      </w:r>
      <w:r w:rsidR="00A22F3E" w:rsidRPr="007C0F5D">
        <w:t>at</w:t>
      </w:r>
      <w:r w:rsidR="00CF7C78" w:rsidRPr="007C0F5D">
        <w:t xml:space="preserve"> apotek</w:t>
      </w:r>
      <w:r w:rsidRPr="007C0F5D">
        <w:t xml:space="preserve">personalet </w:t>
      </w:r>
      <w:r w:rsidR="00CF7C78" w:rsidRPr="007C0F5D">
        <w:t>som skal gjennomføre risikominimeringstiltakene</w:t>
      </w:r>
      <w:r w:rsidR="00A22F3E" w:rsidRPr="007C0F5D">
        <w:t xml:space="preserve"> </w:t>
      </w:r>
      <w:r w:rsidR="0074125E" w:rsidRPr="007C0F5D">
        <w:t>får</w:t>
      </w:r>
      <w:r w:rsidR="00A22F3E" w:rsidRPr="007C0F5D">
        <w:t xml:space="preserve"> opplæring</w:t>
      </w:r>
      <w:r w:rsidR="00CF7C78" w:rsidRPr="007C0F5D">
        <w:t>, fortrinnsvis bør opplæringen</w:t>
      </w:r>
      <w:r w:rsidRPr="007C0F5D">
        <w:t xml:space="preserve"> gjennom</w:t>
      </w:r>
      <w:r w:rsidR="00CF7C78" w:rsidRPr="007C0F5D">
        <w:t>føres av</w:t>
      </w:r>
      <w:r w:rsidRPr="007C0F5D">
        <w:t xml:space="preserve"> Apokus</w:t>
      </w:r>
      <w:r w:rsidR="00CF7C78" w:rsidRPr="007C0F5D">
        <w:t xml:space="preserve"> for å sikre en enhetlig </w:t>
      </w:r>
      <w:r w:rsidR="0074125E" w:rsidRPr="007C0F5D">
        <w:t xml:space="preserve">og generisk </w:t>
      </w:r>
      <w:r w:rsidR="00CF7C78" w:rsidRPr="007C0F5D">
        <w:t xml:space="preserve">opplæring uavhengig av </w:t>
      </w:r>
      <w:r w:rsidR="0074125E" w:rsidRPr="007C0F5D">
        <w:t xml:space="preserve">produsent, </w:t>
      </w:r>
      <w:r w:rsidR="00865E10" w:rsidRPr="007C0F5D">
        <w:t>apotek</w:t>
      </w:r>
      <w:r w:rsidR="00CF7C78" w:rsidRPr="007C0F5D">
        <w:t>kjede og/eller region</w:t>
      </w:r>
      <w:r w:rsidR="004970E9" w:rsidRPr="007C0F5D">
        <w:t>.</w:t>
      </w:r>
      <w:r w:rsidR="00A90A01" w:rsidRPr="007C0F5D">
        <w:t xml:space="preserve"> Dersom dette ikke er mulig vil Legemiddelverket </w:t>
      </w:r>
      <w:r w:rsidR="0074125E" w:rsidRPr="007C0F5D">
        <w:t>pålegge</w:t>
      </w:r>
      <w:r w:rsidR="00A90A01" w:rsidRPr="007C0F5D">
        <w:t xml:space="preserve"> </w:t>
      </w:r>
      <w:r w:rsidR="0074125E" w:rsidRPr="007C0F5D">
        <w:t xml:space="preserve">den enkelte </w:t>
      </w:r>
      <w:r w:rsidR="00A90A01" w:rsidRPr="007C0F5D">
        <w:t xml:space="preserve">MT-innehaver </w:t>
      </w:r>
      <w:r w:rsidR="0074125E" w:rsidRPr="007C0F5D">
        <w:t>å utarbeide</w:t>
      </w:r>
      <w:r w:rsidR="00A90A01" w:rsidRPr="007C0F5D">
        <w:t xml:space="preserve"> opplæringsmaterialet (f.eks. e-læring) basert på godkjen</w:t>
      </w:r>
      <w:r w:rsidR="0074125E" w:rsidRPr="007C0F5D">
        <w:t>ningen. Som for annen opplæringsmateriell må dette god</w:t>
      </w:r>
      <w:r w:rsidR="00A90A01" w:rsidRPr="007C0F5D">
        <w:t>kjennes av Legemiddelverket og</w:t>
      </w:r>
      <w:r w:rsidR="0074125E" w:rsidRPr="007C0F5D">
        <w:t xml:space="preserve"> så</w:t>
      </w:r>
      <w:r w:rsidR="00A90A01" w:rsidRPr="007C0F5D">
        <w:t xml:space="preserve"> distribueres </w:t>
      </w:r>
      <w:r w:rsidR="0074125E" w:rsidRPr="007C0F5D">
        <w:t>til apotek.</w:t>
      </w:r>
      <w:r w:rsidR="00A90A01">
        <w:t xml:space="preserve"> </w:t>
      </w:r>
    </w:p>
    <w:p w14:paraId="00ADD893" w14:textId="77777777" w:rsidR="00B234D5" w:rsidRPr="007575CF" w:rsidRDefault="00B234D5" w:rsidP="00CC4CAE">
      <w:pPr>
        <w:rPr>
          <w:highlight w:val="yellow"/>
        </w:rPr>
      </w:pPr>
    </w:p>
    <w:p w14:paraId="38B55709" w14:textId="77777777" w:rsidR="00B234D5" w:rsidRPr="007575CF" w:rsidRDefault="00B234D5" w:rsidP="00CC4CAE">
      <w:pPr>
        <w:rPr>
          <w:highlight w:val="yellow"/>
        </w:rPr>
      </w:pPr>
    </w:p>
    <w:p w14:paraId="3F53B981" w14:textId="77777777" w:rsidR="00802F8F" w:rsidRPr="007575CF" w:rsidRDefault="00802F8F" w:rsidP="00CC4CAE">
      <w:pPr>
        <w:rPr>
          <w:highlight w:val="yellow"/>
        </w:rPr>
      </w:pPr>
    </w:p>
    <w:p w14:paraId="0C5112EE" w14:textId="77777777" w:rsidR="00CC4CAE" w:rsidRPr="007575CF" w:rsidRDefault="00CC4CAE" w:rsidP="00CC4CAE"/>
    <w:sectPr w:rsidR="00CC4CAE" w:rsidRPr="007575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Ulrike Jüse" w:date="2017-08-29T15:24:00Z" w:initials="UJ">
    <w:p w14:paraId="72AD5DBD" w14:textId="2E2524E0" w:rsidR="004B1890" w:rsidRDefault="004B1890">
      <w:pPr>
        <w:pStyle w:val="Merknadstekst"/>
      </w:pPr>
      <w:r>
        <w:rPr>
          <w:rStyle w:val="Merknadsreferanse"/>
        </w:rPr>
        <w:annotationRef/>
      </w:r>
      <w:r>
        <w:t>SLV kan utarbeide veiledere for utforming av disse dokumentene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2AD5DB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2AD5DBD" w16cid:durableId="1D9C45F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D93DA4"/>
    <w:multiLevelType w:val="hybridMultilevel"/>
    <w:tmpl w:val="A7981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764561"/>
    <w:multiLevelType w:val="hybridMultilevel"/>
    <w:tmpl w:val="C484B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2473E7"/>
    <w:multiLevelType w:val="hybridMultilevel"/>
    <w:tmpl w:val="83BEAF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67159"/>
    <w:multiLevelType w:val="hybridMultilevel"/>
    <w:tmpl w:val="866C6A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Ulrike Jüse">
    <w15:presenceInfo w15:providerId="AD" w15:userId="S-1-5-21-511406687-1212384326-26098378-387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288"/>
    <w:rsid w:val="00025A09"/>
    <w:rsid w:val="00030351"/>
    <w:rsid w:val="00053C65"/>
    <w:rsid w:val="0008097E"/>
    <w:rsid w:val="00080E3B"/>
    <w:rsid w:val="000A54B9"/>
    <w:rsid w:val="000A7BBC"/>
    <w:rsid w:val="000B7EDD"/>
    <w:rsid w:val="000C7A0E"/>
    <w:rsid w:val="000D4E1C"/>
    <w:rsid w:val="000E17B4"/>
    <w:rsid w:val="001235A4"/>
    <w:rsid w:val="00153CE2"/>
    <w:rsid w:val="001547A2"/>
    <w:rsid w:val="00165014"/>
    <w:rsid w:val="00195C3A"/>
    <w:rsid w:val="001E1587"/>
    <w:rsid w:val="001E6A54"/>
    <w:rsid w:val="00213211"/>
    <w:rsid w:val="00215D0F"/>
    <w:rsid w:val="00221CDF"/>
    <w:rsid w:val="00247042"/>
    <w:rsid w:val="0027100D"/>
    <w:rsid w:val="003412D1"/>
    <w:rsid w:val="00351EB4"/>
    <w:rsid w:val="00370BF9"/>
    <w:rsid w:val="0037575F"/>
    <w:rsid w:val="00393466"/>
    <w:rsid w:val="003A78F4"/>
    <w:rsid w:val="003D0034"/>
    <w:rsid w:val="003E151D"/>
    <w:rsid w:val="00407B5E"/>
    <w:rsid w:val="00413DC4"/>
    <w:rsid w:val="00424676"/>
    <w:rsid w:val="00481322"/>
    <w:rsid w:val="004970E9"/>
    <w:rsid w:val="004A31E1"/>
    <w:rsid w:val="004B1890"/>
    <w:rsid w:val="004B532A"/>
    <w:rsid w:val="004B56AF"/>
    <w:rsid w:val="00581ADF"/>
    <w:rsid w:val="005A643F"/>
    <w:rsid w:val="005E1424"/>
    <w:rsid w:val="005F7B0A"/>
    <w:rsid w:val="00621587"/>
    <w:rsid w:val="0063743F"/>
    <w:rsid w:val="0065163A"/>
    <w:rsid w:val="0066182F"/>
    <w:rsid w:val="00673C07"/>
    <w:rsid w:val="00676242"/>
    <w:rsid w:val="006F78E1"/>
    <w:rsid w:val="0071650A"/>
    <w:rsid w:val="00740C5F"/>
    <w:rsid w:val="0074125E"/>
    <w:rsid w:val="00743FEC"/>
    <w:rsid w:val="007534AD"/>
    <w:rsid w:val="007575CF"/>
    <w:rsid w:val="00760DDD"/>
    <w:rsid w:val="007A2388"/>
    <w:rsid w:val="007B2E5D"/>
    <w:rsid w:val="007C0F5D"/>
    <w:rsid w:val="007E79AC"/>
    <w:rsid w:val="0080156D"/>
    <w:rsid w:val="00802E72"/>
    <w:rsid w:val="00802F8F"/>
    <w:rsid w:val="00824A78"/>
    <w:rsid w:val="00826E5F"/>
    <w:rsid w:val="008526A8"/>
    <w:rsid w:val="00865E10"/>
    <w:rsid w:val="00870131"/>
    <w:rsid w:val="00883D15"/>
    <w:rsid w:val="00885E24"/>
    <w:rsid w:val="0089339E"/>
    <w:rsid w:val="008A1F5B"/>
    <w:rsid w:val="008B7F57"/>
    <w:rsid w:val="008C0638"/>
    <w:rsid w:val="008D6F20"/>
    <w:rsid w:val="00906D76"/>
    <w:rsid w:val="00910FAA"/>
    <w:rsid w:val="00944E26"/>
    <w:rsid w:val="00947DC2"/>
    <w:rsid w:val="00951339"/>
    <w:rsid w:val="00953344"/>
    <w:rsid w:val="009709A2"/>
    <w:rsid w:val="009D3310"/>
    <w:rsid w:val="009F3FED"/>
    <w:rsid w:val="009F77F5"/>
    <w:rsid w:val="00A22F3E"/>
    <w:rsid w:val="00A314C7"/>
    <w:rsid w:val="00A44F1F"/>
    <w:rsid w:val="00A45D46"/>
    <w:rsid w:val="00A47BC7"/>
    <w:rsid w:val="00A554BC"/>
    <w:rsid w:val="00A60060"/>
    <w:rsid w:val="00A90A01"/>
    <w:rsid w:val="00AA5975"/>
    <w:rsid w:val="00AC1A6C"/>
    <w:rsid w:val="00AD138D"/>
    <w:rsid w:val="00B234D5"/>
    <w:rsid w:val="00B419FD"/>
    <w:rsid w:val="00B80B3D"/>
    <w:rsid w:val="00B9051B"/>
    <w:rsid w:val="00BB1463"/>
    <w:rsid w:val="00BD2288"/>
    <w:rsid w:val="00BD6C37"/>
    <w:rsid w:val="00C00FF0"/>
    <w:rsid w:val="00C129C8"/>
    <w:rsid w:val="00C30769"/>
    <w:rsid w:val="00C36E08"/>
    <w:rsid w:val="00C56A4A"/>
    <w:rsid w:val="00C97C0E"/>
    <w:rsid w:val="00CC092E"/>
    <w:rsid w:val="00CC4CAE"/>
    <w:rsid w:val="00CD2457"/>
    <w:rsid w:val="00CE4062"/>
    <w:rsid w:val="00CF5A29"/>
    <w:rsid w:val="00CF7C78"/>
    <w:rsid w:val="00D46143"/>
    <w:rsid w:val="00D62CF8"/>
    <w:rsid w:val="00D65CC3"/>
    <w:rsid w:val="00D90122"/>
    <w:rsid w:val="00DA252F"/>
    <w:rsid w:val="00DE07B8"/>
    <w:rsid w:val="00E139FA"/>
    <w:rsid w:val="00E146E8"/>
    <w:rsid w:val="00E2424C"/>
    <w:rsid w:val="00E33FD5"/>
    <w:rsid w:val="00E463B1"/>
    <w:rsid w:val="00E80231"/>
    <w:rsid w:val="00EB32E3"/>
    <w:rsid w:val="00F53420"/>
    <w:rsid w:val="00FA2AD3"/>
    <w:rsid w:val="00FE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CDD71"/>
  <w15:chartTrackingRefBased/>
  <w15:docId w15:val="{AA3A478A-1E61-4D8C-BE53-C70283CA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D22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6F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A54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BD22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9D3310"/>
    <w:rPr>
      <w:strike w:val="0"/>
      <w:dstrike w:val="0"/>
      <w:color w:val="006778"/>
      <w:u w:val="single"/>
      <w:effect w:val="none"/>
    </w:rPr>
  </w:style>
  <w:style w:type="character" w:styleId="Fulgthyperkobling">
    <w:name w:val="FollowedHyperlink"/>
    <w:basedOn w:val="Standardskriftforavsnitt"/>
    <w:uiPriority w:val="99"/>
    <w:semiHidden/>
    <w:unhideWhenUsed/>
    <w:rsid w:val="000E17B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80E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3A78F4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3A78F4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3A78F4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3A78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3A78F4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3A78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3A78F4"/>
    <w:rPr>
      <w:rFonts w:ascii="Segoe UI" w:hAnsi="Segoe UI" w:cs="Segoe UI"/>
      <w:sz w:val="18"/>
      <w:szCs w:val="18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A54B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6F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9533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gemiddelverket.no/Godkjenning_og_regelverk/godkjenning_av_legemidler/OTC/Sider/Virkestoffrapporter.aspx" TargetMode="External"/><Relationship Id="rId13" Type="http://schemas.openxmlformats.org/officeDocument/2006/relationships/hyperlink" Target="http://www.hma.eu/218.html?&amp;L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.europa.eu/health/files/eudralex/vol-2/c/switchguide_160106_en.pdf" TargetMode="External"/><Relationship Id="rId12" Type="http://schemas.openxmlformats.org/officeDocument/2006/relationships/hyperlink" Target="http://ec.europa.eu/health/files/eudralex/vol-2/c/2009_01_12_readability_guideline_final_en.pd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hyperlink" Target="https://legemiddelverket.no/godkjenning/veiledning-og-rad" TargetMode="External"/><Relationship Id="rId11" Type="http://schemas.microsoft.com/office/2016/09/relationships/commentsIds" Target="commentsIds.xml"/><Relationship Id="rId5" Type="http://schemas.openxmlformats.org/officeDocument/2006/relationships/hyperlink" Target="http://ec.europa.eu/health/files/eudralex/vol-2/c/switchguide_160106_en.pdf" TargetMode="External"/><Relationship Id="rId15" Type="http://schemas.openxmlformats.org/officeDocument/2006/relationships/fontTable" Target="fontTable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Relationship Id="rId14" Type="http://schemas.openxmlformats.org/officeDocument/2006/relationships/hyperlink" Target="https://legemiddelverket.no/godkjenning/godkjenning-av-legemidler/reseptfrihet-otc/virkestoffrapporter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1949</Words>
  <Characters>10335</Characters>
  <Application>Microsoft Office Word</Application>
  <DocSecurity>0</DocSecurity>
  <Lines>86</Lines>
  <Paragraphs>24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Jüse</dc:creator>
  <cp:keywords/>
  <dc:description/>
  <cp:lastModifiedBy>Brænden, Kari</cp:lastModifiedBy>
  <cp:revision>2</cp:revision>
  <dcterms:created xsi:type="dcterms:W3CDTF">2017-10-26T09:32:00Z</dcterms:created>
  <dcterms:modified xsi:type="dcterms:W3CDTF">2017-10-26T09:32:00Z</dcterms:modified>
</cp:coreProperties>
</file>